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A8" w:rsidRPr="00BB0916" w:rsidRDefault="00BE477D" w:rsidP="00BB0916">
      <w:pPr>
        <w:jc w:val="center"/>
        <w:rPr>
          <w:b/>
          <w:lang w:val="en-GB"/>
        </w:rPr>
      </w:pPr>
      <w:bookmarkStart w:id="0" w:name="_GoBack"/>
      <w:bookmarkEnd w:id="0"/>
      <w:r>
        <w:rPr>
          <w:b/>
          <w:lang w:val="en-GB"/>
        </w:rPr>
        <w:t xml:space="preserve">A </w:t>
      </w:r>
      <w:r w:rsidRPr="00BB0916">
        <w:rPr>
          <w:b/>
          <w:lang w:val="en-GB"/>
        </w:rPr>
        <w:t xml:space="preserve">Socio-Technical </w:t>
      </w:r>
      <w:r>
        <w:rPr>
          <w:b/>
          <w:lang w:val="en-GB"/>
        </w:rPr>
        <w:t xml:space="preserve">Perspective on </w:t>
      </w:r>
      <w:r w:rsidR="006135CB">
        <w:rPr>
          <w:b/>
          <w:lang w:val="en-GB"/>
        </w:rPr>
        <w:t>Repository Monitoring</w:t>
      </w:r>
      <w:r w:rsidR="006135CB" w:rsidRPr="00BB0916">
        <w:rPr>
          <w:b/>
          <w:lang w:val="en-GB"/>
        </w:rPr>
        <w:t xml:space="preserve"> </w:t>
      </w:r>
      <w:r w:rsidR="006061EE">
        <w:rPr>
          <w:b/>
          <w:lang w:val="en-GB"/>
        </w:rPr>
        <w:t>- 12229</w:t>
      </w:r>
    </w:p>
    <w:p w:rsidR="003A15D0" w:rsidRDefault="003A15D0" w:rsidP="00BB0916">
      <w:pPr>
        <w:jc w:val="both"/>
        <w:rPr>
          <w:rFonts w:ascii="Calibri" w:eastAsia="Times New Roman" w:hAnsi="Calibri" w:cs="Calibri"/>
          <w:b/>
          <w:bCs/>
          <w:color w:val="000000"/>
          <w:lang w:val="en-GB"/>
        </w:rPr>
      </w:pPr>
    </w:p>
    <w:p w:rsidR="003A15D0" w:rsidRPr="006061EE" w:rsidRDefault="003A15D0" w:rsidP="00BB0916">
      <w:pPr>
        <w:jc w:val="center"/>
        <w:rPr>
          <w:rFonts w:eastAsia="Times New Roman" w:cs="Arial"/>
          <w:bCs/>
          <w:color w:val="000000"/>
          <w:lang w:val="en-GB"/>
        </w:rPr>
      </w:pPr>
      <w:r w:rsidRPr="006061EE">
        <w:rPr>
          <w:rFonts w:eastAsia="Times New Roman" w:cs="Arial"/>
          <w:bCs/>
          <w:color w:val="000000"/>
          <w:lang w:val="en-GB"/>
        </w:rPr>
        <w:t>Anne Bergmans</w:t>
      </w:r>
      <w:r w:rsidR="00884D7A" w:rsidRPr="006061EE">
        <w:rPr>
          <w:rFonts w:eastAsia="Times New Roman" w:cs="Arial"/>
          <w:bCs/>
          <w:color w:val="000000"/>
          <w:vertAlign w:val="superscript"/>
          <w:lang w:val="en-GB"/>
        </w:rPr>
        <w:t>1</w:t>
      </w:r>
      <w:r w:rsidRPr="006061EE">
        <w:rPr>
          <w:rFonts w:eastAsia="Times New Roman" w:cs="Arial"/>
          <w:bCs/>
          <w:color w:val="000000"/>
          <w:lang w:val="en-GB"/>
        </w:rPr>
        <w:t xml:space="preserve">, </w:t>
      </w:r>
      <w:r w:rsidRPr="00763218">
        <w:rPr>
          <w:rFonts w:eastAsia="Times New Roman" w:cs="Arial"/>
          <w:bCs/>
          <w:color w:val="000000"/>
          <w:lang w:val="en-GB"/>
        </w:rPr>
        <w:t>M</w:t>
      </w:r>
      <w:r w:rsidRPr="006061EE">
        <w:rPr>
          <w:rFonts w:eastAsia="Times New Roman" w:cs="Arial"/>
          <w:bCs/>
          <w:color w:val="000000"/>
          <w:lang w:val="en-GB"/>
        </w:rPr>
        <w:t>ark Elam</w:t>
      </w:r>
      <w:r w:rsidR="00574090">
        <w:rPr>
          <w:rFonts w:eastAsia="Times New Roman" w:cs="Arial"/>
          <w:bCs/>
          <w:color w:val="000000"/>
          <w:vertAlign w:val="superscript"/>
          <w:lang w:val="en-GB"/>
        </w:rPr>
        <w:t>2</w:t>
      </w:r>
      <w:r w:rsidRPr="006061EE">
        <w:rPr>
          <w:rFonts w:eastAsia="Times New Roman" w:cs="Arial"/>
          <w:bCs/>
          <w:color w:val="000000"/>
          <w:lang w:val="en-GB"/>
        </w:rPr>
        <w:t xml:space="preserve">, </w:t>
      </w:r>
      <w:r w:rsidR="00574090" w:rsidRPr="00B517FA">
        <w:rPr>
          <w:rFonts w:eastAsia="Times New Roman" w:cs="Arial"/>
          <w:bCs/>
          <w:color w:val="000000"/>
          <w:u w:val="single"/>
          <w:lang w:val="en-GB"/>
        </w:rPr>
        <w:t>Peter Simmons</w:t>
      </w:r>
      <w:r w:rsidR="00574090">
        <w:rPr>
          <w:rFonts w:eastAsia="Times New Roman" w:cs="Arial"/>
          <w:bCs/>
          <w:color w:val="000000"/>
          <w:vertAlign w:val="superscript"/>
          <w:lang w:val="en-GB"/>
        </w:rPr>
        <w:t>3</w:t>
      </w:r>
      <w:r w:rsidR="00574090" w:rsidRPr="006061EE">
        <w:rPr>
          <w:rFonts w:eastAsia="Times New Roman" w:cs="Arial"/>
          <w:bCs/>
          <w:color w:val="000000"/>
          <w:lang w:val="en-GB"/>
        </w:rPr>
        <w:t xml:space="preserve">, </w:t>
      </w:r>
      <w:r w:rsidRPr="006061EE">
        <w:rPr>
          <w:rFonts w:eastAsia="Times New Roman" w:cs="Arial"/>
          <w:bCs/>
          <w:color w:val="000000"/>
          <w:lang w:val="en-GB"/>
        </w:rPr>
        <w:t>Göran Sundqvist</w:t>
      </w:r>
      <w:r w:rsidR="00574090">
        <w:rPr>
          <w:rFonts w:eastAsia="Times New Roman" w:cs="Arial"/>
          <w:bCs/>
          <w:color w:val="000000"/>
          <w:vertAlign w:val="superscript"/>
          <w:lang w:val="en-GB"/>
        </w:rPr>
        <w:t>2</w:t>
      </w:r>
    </w:p>
    <w:p w:rsidR="00444A1D" w:rsidRPr="006061EE" w:rsidRDefault="001F6AD4" w:rsidP="00574090">
      <w:pPr>
        <w:jc w:val="center"/>
        <w:rPr>
          <w:rFonts w:eastAsia="Times New Roman" w:cs="Arial"/>
          <w:bCs/>
          <w:color w:val="000000"/>
          <w:sz w:val="18"/>
          <w:szCs w:val="18"/>
          <w:lang w:val="en-GB"/>
        </w:rPr>
      </w:pPr>
      <w:r w:rsidRPr="006061EE">
        <w:rPr>
          <w:rFonts w:eastAsia="Times New Roman" w:cs="Arial"/>
          <w:bCs/>
          <w:color w:val="000000"/>
          <w:sz w:val="18"/>
          <w:szCs w:val="18"/>
          <w:vertAlign w:val="superscript"/>
          <w:lang w:val="en-GB"/>
        </w:rPr>
        <w:t>1</w:t>
      </w:r>
      <w:r w:rsidR="00444A1D" w:rsidRPr="006061EE">
        <w:rPr>
          <w:rFonts w:eastAsia="Times New Roman" w:cs="Arial"/>
          <w:bCs/>
          <w:color w:val="000000"/>
          <w:sz w:val="18"/>
          <w:szCs w:val="18"/>
          <w:vertAlign w:val="superscript"/>
          <w:lang w:val="en-GB"/>
        </w:rPr>
        <w:t xml:space="preserve"> </w:t>
      </w:r>
      <w:r w:rsidR="00444A1D" w:rsidRPr="006061EE">
        <w:rPr>
          <w:rFonts w:eastAsia="Times New Roman" w:cs="Arial"/>
          <w:bCs/>
          <w:color w:val="000000"/>
          <w:sz w:val="18"/>
          <w:szCs w:val="18"/>
          <w:lang w:val="en-GB"/>
        </w:rPr>
        <w:t>University of Antwerp</w:t>
      </w:r>
      <w:r w:rsidR="0076348D" w:rsidRPr="006061EE">
        <w:rPr>
          <w:rFonts w:eastAsia="Times New Roman" w:cs="Arial"/>
          <w:bCs/>
          <w:color w:val="000000"/>
          <w:sz w:val="18"/>
          <w:szCs w:val="18"/>
          <w:lang w:val="en-GB"/>
        </w:rPr>
        <w:t>,</w:t>
      </w:r>
      <w:r w:rsidR="00444A1D" w:rsidRPr="006061EE">
        <w:rPr>
          <w:rFonts w:eastAsia="Times New Roman" w:cs="Arial"/>
          <w:bCs/>
          <w:color w:val="000000"/>
          <w:sz w:val="18"/>
          <w:szCs w:val="18"/>
          <w:lang w:val="en-GB"/>
        </w:rPr>
        <w:t xml:space="preserve"> Faculty of Political and Social Sciences</w:t>
      </w:r>
      <w:r w:rsidR="0076348D" w:rsidRPr="006061EE">
        <w:rPr>
          <w:rFonts w:eastAsia="Times New Roman" w:cs="Arial"/>
          <w:bCs/>
          <w:color w:val="000000"/>
          <w:sz w:val="18"/>
          <w:szCs w:val="18"/>
          <w:lang w:val="en-GB"/>
        </w:rPr>
        <w:t xml:space="preserve">, </w:t>
      </w:r>
      <w:r w:rsidR="00444A1D" w:rsidRPr="006061EE">
        <w:rPr>
          <w:rFonts w:eastAsia="Times New Roman" w:cs="Arial"/>
          <w:bCs/>
          <w:color w:val="000000"/>
          <w:sz w:val="18"/>
          <w:szCs w:val="18"/>
          <w:lang w:val="en-GB"/>
        </w:rPr>
        <w:t>Sint-Jacobstraat 2, 2000 Antwerpen</w:t>
      </w:r>
      <w:r w:rsidR="0076348D" w:rsidRPr="006061EE">
        <w:rPr>
          <w:rFonts w:eastAsia="Times New Roman" w:cs="Arial"/>
          <w:bCs/>
          <w:color w:val="000000"/>
          <w:sz w:val="18"/>
          <w:szCs w:val="18"/>
          <w:lang w:val="en-GB"/>
        </w:rPr>
        <w:t>, Belgium</w:t>
      </w:r>
      <w:r w:rsidRPr="006061EE">
        <w:rPr>
          <w:rFonts w:eastAsia="Times New Roman" w:cs="Arial"/>
          <w:bCs/>
          <w:color w:val="000000"/>
          <w:sz w:val="18"/>
          <w:szCs w:val="18"/>
          <w:lang w:val="en-GB"/>
        </w:rPr>
        <w:t xml:space="preserve"> </w:t>
      </w:r>
    </w:p>
    <w:p w:rsidR="00444A1D" w:rsidRDefault="00574090" w:rsidP="00574090">
      <w:pPr>
        <w:jc w:val="center"/>
        <w:rPr>
          <w:rFonts w:cs="Arial"/>
          <w:bCs/>
          <w:sz w:val="18"/>
          <w:szCs w:val="18"/>
          <w:lang w:val="en-GB"/>
        </w:rPr>
      </w:pPr>
      <w:r>
        <w:rPr>
          <w:rFonts w:eastAsia="Times New Roman" w:cs="Arial"/>
          <w:bCs/>
          <w:color w:val="000000"/>
          <w:sz w:val="18"/>
          <w:szCs w:val="18"/>
          <w:vertAlign w:val="superscript"/>
          <w:lang w:val="en-GB"/>
        </w:rPr>
        <w:t>2</w:t>
      </w:r>
      <w:r w:rsidR="00444A1D" w:rsidRPr="006061EE">
        <w:rPr>
          <w:rFonts w:eastAsia="Times New Roman" w:cs="Arial"/>
          <w:bCs/>
          <w:color w:val="000000"/>
          <w:sz w:val="18"/>
          <w:szCs w:val="18"/>
          <w:vertAlign w:val="superscript"/>
          <w:lang w:val="en-GB"/>
        </w:rPr>
        <w:t xml:space="preserve"> </w:t>
      </w:r>
      <w:r w:rsidR="00444A1D" w:rsidRPr="006061EE">
        <w:rPr>
          <w:rFonts w:cs="Arial"/>
          <w:bCs/>
          <w:sz w:val="18"/>
          <w:szCs w:val="18"/>
          <w:lang w:val="en-GB"/>
        </w:rPr>
        <w:t>University of Gothenburg</w:t>
      </w:r>
      <w:r w:rsidR="001F6AD4" w:rsidRPr="006061EE">
        <w:rPr>
          <w:rFonts w:cs="Arial"/>
          <w:bCs/>
          <w:sz w:val="18"/>
          <w:szCs w:val="18"/>
          <w:lang w:val="en-GB"/>
        </w:rPr>
        <w:t>,</w:t>
      </w:r>
      <w:r w:rsidR="00444A1D" w:rsidRPr="006061EE">
        <w:rPr>
          <w:rFonts w:cs="Arial"/>
          <w:bCs/>
          <w:sz w:val="18"/>
          <w:szCs w:val="18"/>
          <w:lang w:val="en-GB"/>
        </w:rPr>
        <w:t xml:space="preserve"> Department of Sociology</w:t>
      </w:r>
      <w:r w:rsidR="001F6AD4" w:rsidRPr="006061EE">
        <w:rPr>
          <w:rFonts w:cs="Arial"/>
          <w:bCs/>
          <w:sz w:val="18"/>
          <w:szCs w:val="18"/>
          <w:lang w:val="en-GB"/>
        </w:rPr>
        <w:t>,</w:t>
      </w:r>
      <w:r w:rsidR="00444A1D" w:rsidRPr="006061EE">
        <w:rPr>
          <w:rFonts w:cs="Arial"/>
          <w:bCs/>
          <w:sz w:val="18"/>
          <w:szCs w:val="18"/>
          <w:lang w:val="en-GB"/>
        </w:rPr>
        <w:t xml:space="preserve"> Box 720, 40530 Gothenburg</w:t>
      </w:r>
      <w:r w:rsidR="00BB0916" w:rsidRPr="006061EE">
        <w:rPr>
          <w:rFonts w:cs="Arial"/>
          <w:bCs/>
          <w:sz w:val="18"/>
          <w:szCs w:val="18"/>
          <w:lang w:val="en-GB"/>
        </w:rPr>
        <w:t>, Sweden</w:t>
      </w:r>
    </w:p>
    <w:p w:rsidR="00574090" w:rsidRPr="006061EE" w:rsidRDefault="00574090" w:rsidP="00574090">
      <w:pPr>
        <w:jc w:val="center"/>
        <w:rPr>
          <w:rFonts w:cs="Arial"/>
          <w:color w:val="535455"/>
          <w:sz w:val="18"/>
          <w:szCs w:val="18"/>
          <w:lang w:val="en-GB" w:eastAsia="nl-BE"/>
        </w:rPr>
      </w:pPr>
      <w:r>
        <w:rPr>
          <w:rFonts w:eastAsia="Times New Roman" w:cs="Arial"/>
          <w:bCs/>
          <w:color w:val="000000"/>
          <w:sz w:val="18"/>
          <w:szCs w:val="18"/>
          <w:vertAlign w:val="superscript"/>
          <w:lang w:val="en-GB"/>
        </w:rPr>
        <w:t>3</w:t>
      </w:r>
      <w:r w:rsidRPr="006061EE">
        <w:rPr>
          <w:rFonts w:eastAsia="Times New Roman" w:cs="Arial"/>
          <w:bCs/>
          <w:color w:val="000000"/>
          <w:sz w:val="18"/>
          <w:szCs w:val="18"/>
          <w:lang w:val="en-GB"/>
        </w:rPr>
        <w:t xml:space="preserve"> University of East Anglia, </w:t>
      </w:r>
      <w:r w:rsidRPr="006061EE">
        <w:rPr>
          <w:rFonts w:cs="Arial"/>
          <w:sz w:val="18"/>
          <w:szCs w:val="18"/>
          <w:lang w:val="en-GB"/>
        </w:rPr>
        <w:t>School of Environmental Sciences, Norwich NR4 7TJ, U</w:t>
      </w:r>
      <w:r>
        <w:rPr>
          <w:rFonts w:cs="Arial"/>
          <w:sz w:val="18"/>
          <w:szCs w:val="18"/>
          <w:lang w:val="en-GB"/>
        </w:rPr>
        <w:t xml:space="preserve">nited </w:t>
      </w:r>
      <w:r w:rsidRPr="006061EE">
        <w:rPr>
          <w:rFonts w:cs="Arial"/>
          <w:sz w:val="18"/>
          <w:szCs w:val="18"/>
          <w:lang w:val="en-GB"/>
        </w:rPr>
        <w:t>K</w:t>
      </w:r>
      <w:r>
        <w:rPr>
          <w:rFonts w:cs="Arial"/>
          <w:sz w:val="18"/>
          <w:szCs w:val="18"/>
          <w:lang w:val="en-GB"/>
        </w:rPr>
        <w:t>ingdom</w:t>
      </w:r>
      <w:r w:rsidRPr="006061EE">
        <w:rPr>
          <w:rFonts w:cs="Arial"/>
          <w:color w:val="535455"/>
          <w:sz w:val="18"/>
          <w:szCs w:val="18"/>
          <w:lang w:val="en-GB" w:eastAsia="nl-BE"/>
        </w:rPr>
        <w:t xml:space="preserve"> </w:t>
      </w:r>
    </w:p>
    <w:p w:rsidR="00574090" w:rsidRPr="006061EE" w:rsidRDefault="00407B8B" w:rsidP="00574090">
      <w:pPr>
        <w:jc w:val="center"/>
        <w:rPr>
          <w:rFonts w:cs="Arial"/>
          <w:bCs/>
          <w:sz w:val="18"/>
          <w:szCs w:val="18"/>
          <w:lang w:val="en-GB"/>
        </w:rPr>
      </w:pPr>
      <w:r>
        <w:rPr>
          <w:rFonts w:cs="Arial"/>
          <w:bCs/>
          <w:sz w:val="18"/>
          <w:szCs w:val="18"/>
          <w:lang w:val="en-GB"/>
        </w:rPr>
        <w:t xml:space="preserve"> </w:t>
      </w:r>
    </w:p>
    <w:p w:rsidR="001F6AD4" w:rsidRPr="00444A1D" w:rsidRDefault="001F6AD4" w:rsidP="00BB0916">
      <w:pPr>
        <w:spacing w:after="60"/>
        <w:jc w:val="center"/>
        <w:rPr>
          <w:sz w:val="16"/>
          <w:szCs w:val="16"/>
          <w:lang w:val="en-GB"/>
        </w:rPr>
      </w:pPr>
    </w:p>
    <w:p w:rsidR="0076348D" w:rsidRPr="006061EE" w:rsidRDefault="00BB0916" w:rsidP="00C41EEE">
      <w:pPr>
        <w:rPr>
          <w:rFonts w:eastAsia="Times New Roman" w:cs="Arial"/>
          <w:b/>
          <w:color w:val="000000"/>
          <w:lang w:val="en-GB"/>
        </w:rPr>
      </w:pPr>
      <w:r w:rsidRPr="006061EE">
        <w:rPr>
          <w:rFonts w:eastAsia="Times New Roman" w:cs="Arial"/>
          <w:b/>
          <w:color w:val="000000"/>
          <w:lang w:val="en-GB"/>
        </w:rPr>
        <w:t>ABSTRACT</w:t>
      </w:r>
    </w:p>
    <w:p w:rsidR="0076348D" w:rsidRPr="006061EE" w:rsidRDefault="0076348D" w:rsidP="00C41EEE">
      <w:pPr>
        <w:rPr>
          <w:rFonts w:eastAsia="Times New Roman" w:cs="Arial"/>
          <w:color w:val="000000"/>
          <w:lang w:val="en-GB"/>
        </w:rPr>
      </w:pPr>
    </w:p>
    <w:p w:rsidR="00303373" w:rsidRDefault="008657C3" w:rsidP="00C41EEE">
      <w:pPr>
        <w:rPr>
          <w:rFonts w:eastAsia="Times New Roman" w:cs="Arial"/>
          <w:color w:val="000000"/>
          <w:lang w:val="en-GB"/>
        </w:rPr>
      </w:pPr>
      <w:r w:rsidRPr="006061EE">
        <w:rPr>
          <w:rFonts w:eastAsia="Times New Roman" w:cs="Arial"/>
          <w:color w:val="000000"/>
          <w:lang w:val="en-GB"/>
        </w:rPr>
        <w:t xml:space="preserve">Monitoring </w:t>
      </w:r>
      <w:r w:rsidR="002C26C4" w:rsidRPr="006061EE">
        <w:rPr>
          <w:rFonts w:eastAsia="Times New Roman" w:cs="Arial"/>
          <w:color w:val="000000"/>
          <w:lang w:val="en-GB"/>
        </w:rPr>
        <w:t xml:space="preserve">geological </w:t>
      </w:r>
      <w:r w:rsidRPr="006061EE">
        <w:rPr>
          <w:rFonts w:eastAsia="Times New Roman" w:cs="Arial"/>
          <w:color w:val="000000"/>
          <w:lang w:val="en-GB"/>
        </w:rPr>
        <w:t>repositories for high-activity radioactive wastes has both technical and social dimensions</w:t>
      </w:r>
      <w:r w:rsidR="002C26C4" w:rsidRPr="006061EE">
        <w:rPr>
          <w:rFonts w:eastAsia="Times New Roman" w:cs="Arial"/>
          <w:color w:val="000000"/>
          <w:lang w:val="en-GB"/>
        </w:rPr>
        <w:t>,</w:t>
      </w:r>
      <w:r w:rsidRPr="006061EE">
        <w:rPr>
          <w:rFonts w:eastAsia="Times New Roman" w:cs="Arial"/>
          <w:color w:val="000000"/>
          <w:lang w:val="en-GB"/>
        </w:rPr>
        <w:t xml:space="preserve"> </w:t>
      </w:r>
      <w:r w:rsidR="002C26C4" w:rsidRPr="006061EE">
        <w:rPr>
          <w:rFonts w:eastAsia="Times New Roman" w:cs="Arial"/>
          <w:color w:val="000000"/>
          <w:lang w:val="en-GB"/>
        </w:rPr>
        <w:t xml:space="preserve">which </w:t>
      </w:r>
      <w:r w:rsidRPr="006061EE">
        <w:rPr>
          <w:rFonts w:eastAsia="Times New Roman" w:cs="Arial"/>
          <w:color w:val="000000"/>
          <w:lang w:val="en-GB"/>
        </w:rPr>
        <w:t xml:space="preserve">are closely interrelated. </w:t>
      </w:r>
      <w:r w:rsidR="00E738DA">
        <w:rPr>
          <w:rFonts w:eastAsia="Times New Roman" w:cs="Arial"/>
          <w:color w:val="000000"/>
          <w:lang w:val="en-GB"/>
        </w:rPr>
        <w:t xml:space="preserve">To investigate the implications of </w:t>
      </w:r>
      <w:r w:rsidR="00F459DA">
        <w:rPr>
          <w:rFonts w:eastAsia="Times New Roman" w:cs="Arial"/>
          <w:color w:val="000000"/>
          <w:lang w:val="en-GB"/>
        </w:rPr>
        <w:t>this</w:t>
      </w:r>
      <w:r w:rsidR="00E738DA">
        <w:rPr>
          <w:rFonts w:eastAsia="Times New Roman" w:cs="Arial"/>
          <w:color w:val="000000"/>
          <w:lang w:val="en-GB"/>
        </w:rPr>
        <w:t xml:space="preserve"> for geological disposal</w:t>
      </w:r>
      <w:r w:rsidR="00F459DA">
        <w:rPr>
          <w:rFonts w:eastAsia="Times New Roman" w:cs="Arial"/>
          <w:color w:val="000000"/>
          <w:lang w:val="en-GB"/>
        </w:rPr>
        <w:t>, d</w:t>
      </w:r>
      <w:r w:rsidR="00F67FDF">
        <w:rPr>
          <w:rFonts w:eastAsia="Times New Roman" w:cs="Arial"/>
          <w:color w:val="000000"/>
          <w:lang w:val="en-GB"/>
        </w:rPr>
        <w:t>ata on expert</w:t>
      </w:r>
      <w:r w:rsidR="00D7490A">
        <w:rPr>
          <w:rFonts w:eastAsia="Times New Roman" w:cs="Arial"/>
          <w:color w:val="000000"/>
          <w:lang w:val="en-GB"/>
        </w:rPr>
        <w:t>s’</w:t>
      </w:r>
      <w:r w:rsidR="00F67FDF">
        <w:rPr>
          <w:rFonts w:eastAsia="Times New Roman" w:cs="Arial"/>
          <w:color w:val="000000"/>
          <w:lang w:val="en-GB"/>
        </w:rPr>
        <w:t xml:space="preserve"> expectations of </w:t>
      </w:r>
      <w:r w:rsidRPr="006061EE">
        <w:rPr>
          <w:rFonts w:eastAsia="Times New Roman" w:cs="Arial"/>
          <w:color w:val="000000"/>
          <w:lang w:val="en-GB"/>
        </w:rPr>
        <w:t xml:space="preserve">repository </w:t>
      </w:r>
      <w:r w:rsidR="00BB0916" w:rsidRPr="006061EE">
        <w:rPr>
          <w:rFonts w:eastAsia="Times New Roman" w:cs="Arial"/>
          <w:color w:val="000000"/>
          <w:lang w:val="en-GB"/>
        </w:rPr>
        <w:t xml:space="preserve">monitoring and the functions that it is expected to </w:t>
      </w:r>
      <w:r w:rsidR="00BD5685">
        <w:rPr>
          <w:rFonts w:eastAsia="Times New Roman" w:cs="Arial"/>
          <w:color w:val="000000"/>
          <w:lang w:val="en-GB"/>
        </w:rPr>
        <w:t>serve</w:t>
      </w:r>
      <w:r w:rsidR="00303373">
        <w:rPr>
          <w:rFonts w:eastAsia="Times New Roman" w:cs="Arial"/>
          <w:color w:val="000000"/>
          <w:lang w:val="en-GB"/>
        </w:rPr>
        <w:t xml:space="preserve"> </w:t>
      </w:r>
      <w:r w:rsidR="00D7490A">
        <w:rPr>
          <w:rFonts w:eastAsia="Times New Roman" w:cs="Arial"/>
          <w:color w:val="000000"/>
          <w:lang w:val="en-GB"/>
        </w:rPr>
        <w:t>we</w:t>
      </w:r>
      <w:r w:rsidR="00303373">
        <w:rPr>
          <w:rFonts w:eastAsia="Times New Roman" w:cs="Arial"/>
          <w:color w:val="000000"/>
          <w:lang w:val="en-GB"/>
        </w:rPr>
        <w:t>re analysed</w:t>
      </w:r>
      <w:r w:rsidR="00F67FDF">
        <w:rPr>
          <w:rFonts w:eastAsia="Times New Roman" w:cs="Arial"/>
          <w:color w:val="000000"/>
          <w:lang w:val="en-GB"/>
        </w:rPr>
        <w:t xml:space="preserve">. </w:t>
      </w:r>
      <w:r w:rsidR="00F67FDF" w:rsidRPr="006061EE">
        <w:rPr>
          <w:rFonts w:eastAsia="Times New Roman" w:cs="Arial"/>
          <w:color w:val="000000"/>
          <w:lang w:val="en-GB"/>
        </w:rPr>
        <w:t xml:space="preserve">The analysis </w:t>
      </w:r>
      <w:r w:rsidR="00D7490A">
        <w:rPr>
          <w:rFonts w:eastAsia="Times New Roman" w:cs="Arial"/>
          <w:color w:val="000000"/>
          <w:lang w:val="en-GB"/>
        </w:rPr>
        <w:t>drew</w:t>
      </w:r>
      <w:r w:rsidR="00F67FDF" w:rsidRPr="006061EE">
        <w:rPr>
          <w:rFonts w:eastAsia="Times New Roman" w:cs="Arial"/>
          <w:color w:val="000000"/>
          <w:lang w:val="en-GB"/>
        </w:rPr>
        <w:t xml:space="preserve"> on strategic and technical documents on monitoring produced by national agencies and by international organisations or projects; interviews with specialists in radioactive waste management organisations on </w:t>
      </w:r>
      <w:r w:rsidR="00303373">
        <w:rPr>
          <w:rFonts w:eastAsia="Times New Roman" w:cs="Arial"/>
          <w:color w:val="000000"/>
          <w:lang w:val="en-GB"/>
        </w:rPr>
        <w:t>monitoring</w:t>
      </w:r>
      <w:r w:rsidR="00F67FDF" w:rsidRPr="006061EE">
        <w:rPr>
          <w:rFonts w:eastAsia="Times New Roman" w:cs="Arial"/>
          <w:color w:val="000000"/>
          <w:lang w:val="en-GB"/>
        </w:rPr>
        <w:t xml:space="preserve"> </w:t>
      </w:r>
      <w:r w:rsidR="00303373">
        <w:rPr>
          <w:rFonts w:eastAsia="Times New Roman" w:cs="Arial"/>
          <w:color w:val="000000"/>
          <w:lang w:val="en-GB"/>
        </w:rPr>
        <w:t xml:space="preserve">and </w:t>
      </w:r>
      <w:r w:rsidR="00F67FDF" w:rsidRPr="006061EE">
        <w:rPr>
          <w:rFonts w:eastAsia="Times New Roman" w:cs="Arial"/>
          <w:color w:val="000000"/>
          <w:lang w:val="en-GB"/>
        </w:rPr>
        <w:t>on their perceptions of soc</w:t>
      </w:r>
      <w:r w:rsidR="00F67FDF">
        <w:rPr>
          <w:rFonts w:eastAsia="Times New Roman" w:cs="Arial"/>
          <w:color w:val="000000"/>
          <w:lang w:val="en-GB"/>
        </w:rPr>
        <w:t>ietal concerns and expectations;</w:t>
      </w:r>
      <w:r w:rsidR="00F67FDF" w:rsidRPr="006061EE">
        <w:rPr>
          <w:rFonts w:eastAsia="Times New Roman" w:cs="Arial"/>
          <w:color w:val="000000"/>
          <w:lang w:val="en-GB"/>
        </w:rPr>
        <w:t xml:space="preserve"> </w:t>
      </w:r>
      <w:r w:rsidR="008D6657">
        <w:rPr>
          <w:rFonts w:eastAsia="Times New Roman" w:cs="Arial"/>
          <w:color w:val="000000"/>
          <w:lang w:val="en-GB"/>
        </w:rPr>
        <w:t xml:space="preserve">and </w:t>
      </w:r>
      <w:r w:rsidR="00F67FDF" w:rsidRPr="006061EE">
        <w:rPr>
          <w:rFonts w:eastAsia="Times New Roman" w:cs="Arial"/>
          <w:color w:val="000000"/>
          <w:lang w:val="en-GB"/>
        </w:rPr>
        <w:t xml:space="preserve">observations from technical workshops on repository monitoring. </w:t>
      </w:r>
      <w:r w:rsidR="00BC3305">
        <w:rPr>
          <w:rFonts w:eastAsia="Times New Roman" w:cs="Arial"/>
          <w:color w:val="000000"/>
          <w:lang w:val="en-GB"/>
        </w:rPr>
        <w:t xml:space="preserve"> </w:t>
      </w:r>
      <w:r w:rsidR="00303373">
        <w:rPr>
          <w:rFonts w:eastAsia="Times New Roman" w:cs="Arial"/>
          <w:color w:val="000000"/>
          <w:lang w:val="en-GB"/>
        </w:rPr>
        <w:t xml:space="preserve">Three main rationales for monitoring </w:t>
      </w:r>
      <w:r w:rsidR="00D7490A">
        <w:rPr>
          <w:rFonts w:eastAsia="Times New Roman" w:cs="Arial"/>
          <w:color w:val="000000"/>
          <w:lang w:val="en-GB"/>
        </w:rPr>
        <w:t>we</w:t>
      </w:r>
      <w:r w:rsidR="00303373">
        <w:rPr>
          <w:rFonts w:eastAsia="Times New Roman" w:cs="Arial"/>
          <w:color w:val="000000"/>
          <w:lang w:val="en-GB"/>
        </w:rPr>
        <w:t xml:space="preserve">re </w:t>
      </w:r>
      <w:r w:rsidR="00D7490A">
        <w:rPr>
          <w:rFonts w:eastAsia="Times New Roman" w:cs="Arial"/>
          <w:color w:val="000000"/>
          <w:lang w:val="en-GB"/>
        </w:rPr>
        <w:t>found</w:t>
      </w:r>
      <w:r w:rsidR="00303373">
        <w:rPr>
          <w:rFonts w:eastAsia="Times New Roman" w:cs="Arial"/>
          <w:color w:val="000000"/>
          <w:lang w:val="en-GB"/>
        </w:rPr>
        <w:t xml:space="preserve">: </w:t>
      </w:r>
      <w:r w:rsidR="00916C29">
        <w:rPr>
          <w:rFonts w:eastAsia="Times New Roman" w:cs="Arial"/>
          <w:color w:val="000000"/>
          <w:lang w:val="en-GB"/>
        </w:rPr>
        <w:t xml:space="preserve">performance </w:t>
      </w:r>
      <w:r w:rsidR="00BD5685">
        <w:rPr>
          <w:rFonts w:eastAsia="Times New Roman" w:cs="Arial"/>
          <w:color w:val="000000"/>
          <w:lang w:val="en-GB"/>
        </w:rPr>
        <w:t>confirmation</w:t>
      </w:r>
      <w:r w:rsidR="00303373">
        <w:rPr>
          <w:rFonts w:eastAsia="Times New Roman" w:cs="Arial"/>
          <w:color w:val="000000"/>
          <w:lang w:val="en-GB"/>
        </w:rPr>
        <w:t xml:space="preserve">; </w:t>
      </w:r>
      <w:r w:rsidR="00BD5685">
        <w:rPr>
          <w:rFonts w:eastAsia="Times New Roman" w:cs="Arial"/>
          <w:color w:val="000000"/>
          <w:lang w:val="en-GB"/>
        </w:rPr>
        <w:t>decision</w:t>
      </w:r>
      <w:r w:rsidR="00303373">
        <w:rPr>
          <w:rFonts w:eastAsia="Times New Roman" w:cs="Arial"/>
          <w:color w:val="000000"/>
          <w:lang w:val="en-GB"/>
        </w:rPr>
        <w:t xml:space="preserve"> support</w:t>
      </w:r>
      <w:r w:rsidR="00F459DA">
        <w:rPr>
          <w:rFonts w:eastAsia="Times New Roman" w:cs="Arial"/>
          <w:color w:val="000000"/>
          <w:lang w:val="en-GB"/>
        </w:rPr>
        <w:t xml:space="preserve"> in a step-wise process</w:t>
      </w:r>
      <w:r w:rsidR="00303373">
        <w:rPr>
          <w:rFonts w:eastAsia="Times New Roman" w:cs="Arial"/>
          <w:color w:val="000000"/>
          <w:lang w:val="en-GB"/>
        </w:rPr>
        <w:t xml:space="preserve">; and </w:t>
      </w:r>
      <w:r w:rsidR="00BD5685">
        <w:rPr>
          <w:rFonts w:eastAsia="Times New Roman" w:cs="Arial"/>
          <w:color w:val="000000"/>
          <w:lang w:val="en-GB"/>
        </w:rPr>
        <w:t>public and stakeholder confidence</w:t>
      </w:r>
      <w:r w:rsidR="00303373">
        <w:rPr>
          <w:rFonts w:eastAsia="Times New Roman" w:cs="Arial"/>
          <w:color w:val="000000"/>
          <w:lang w:val="en-GB"/>
        </w:rPr>
        <w:t xml:space="preserve"> building. </w:t>
      </w:r>
      <w:r w:rsidR="00B86CD2">
        <w:rPr>
          <w:rFonts w:eastAsia="Times New Roman" w:cs="Arial"/>
          <w:color w:val="000000"/>
          <w:lang w:val="en-GB"/>
        </w:rPr>
        <w:t xml:space="preserve">The expectation that monitoring </w:t>
      </w:r>
      <w:r w:rsidR="00D7490A">
        <w:rPr>
          <w:rFonts w:eastAsia="Times New Roman" w:cs="Arial"/>
          <w:color w:val="000000"/>
          <w:lang w:val="en-GB"/>
        </w:rPr>
        <w:t xml:space="preserve">will enhance public confidence </w:t>
      </w:r>
      <w:r w:rsidR="008E0BDB">
        <w:rPr>
          <w:rFonts w:eastAsia="Times New Roman" w:cs="Arial"/>
          <w:color w:val="000000"/>
          <w:lang w:val="en-GB"/>
        </w:rPr>
        <w:t xml:space="preserve">is </w:t>
      </w:r>
      <w:r w:rsidR="00303373">
        <w:rPr>
          <w:rFonts w:eastAsia="Times New Roman" w:cs="Arial"/>
          <w:color w:val="000000"/>
          <w:lang w:val="en-GB"/>
        </w:rPr>
        <w:t xml:space="preserve">then </w:t>
      </w:r>
      <w:r w:rsidR="00F67FDF">
        <w:rPr>
          <w:rFonts w:eastAsia="Times New Roman" w:cs="Arial"/>
          <w:color w:val="000000"/>
          <w:lang w:val="en-GB"/>
        </w:rPr>
        <w:t xml:space="preserve">examined from a social scientific perspective </w:t>
      </w:r>
      <w:r w:rsidR="00D7490A">
        <w:rPr>
          <w:rFonts w:eastAsia="Times New Roman" w:cs="Arial"/>
          <w:color w:val="000000"/>
          <w:lang w:val="en-GB"/>
        </w:rPr>
        <w:t xml:space="preserve">and </w:t>
      </w:r>
      <w:r w:rsidR="00F67FDF">
        <w:rPr>
          <w:rFonts w:eastAsia="Times New Roman" w:cs="Arial"/>
          <w:color w:val="000000"/>
          <w:lang w:val="en-GB"/>
        </w:rPr>
        <w:t>the potential for and challenges to using monitoring in this way</w:t>
      </w:r>
      <w:r w:rsidR="00D7490A">
        <w:rPr>
          <w:rFonts w:eastAsia="Times New Roman" w:cs="Arial"/>
          <w:color w:val="000000"/>
          <w:lang w:val="en-GB"/>
        </w:rPr>
        <w:t xml:space="preserve"> </w:t>
      </w:r>
      <w:r w:rsidR="00B21502">
        <w:rPr>
          <w:rFonts w:eastAsia="Times New Roman" w:cs="Arial"/>
          <w:color w:val="000000"/>
          <w:lang w:val="en-GB"/>
        </w:rPr>
        <w:t>a</w:t>
      </w:r>
      <w:r w:rsidR="00D622FD">
        <w:rPr>
          <w:rFonts w:eastAsia="Times New Roman" w:cs="Arial"/>
          <w:color w:val="000000"/>
          <w:lang w:val="en-GB"/>
        </w:rPr>
        <w:t xml:space="preserve">re </w:t>
      </w:r>
      <w:r w:rsidR="00D7490A">
        <w:rPr>
          <w:rFonts w:eastAsia="Times New Roman" w:cs="Arial"/>
          <w:color w:val="000000"/>
          <w:lang w:val="en-GB"/>
        </w:rPr>
        <w:t>reviewed</w:t>
      </w:r>
      <w:r w:rsidR="00F67FDF">
        <w:rPr>
          <w:rFonts w:eastAsia="Times New Roman" w:cs="Arial"/>
          <w:color w:val="000000"/>
          <w:lang w:val="en-GB"/>
        </w:rPr>
        <w:t xml:space="preserve">. </w:t>
      </w:r>
      <w:r w:rsidR="00D7490A">
        <w:rPr>
          <w:rFonts w:eastAsia="Times New Roman" w:cs="Arial"/>
          <w:color w:val="000000"/>
          <w:lang w:val="en-GB"/>
        </w:rPr>
        <w:t>In conclusion</w:t>
      </w:r>
      <w:r w:rsidR="00B21502">
        <w:rPr>
          <w:rFonts w:eastAsia="Times New Roman" w:cs="Arial"/>
          <w:color w:val="000000"/>
          <w:lang w:val="en-GB"/>
        </w:rPr>
        <w:t>,</w:t>
      </w:r>
      <w:r w:rsidR="00D7490A">
        <w:rPr>
          <w:rFonts w:eastAsia="Times New Roman" w:cs="Arial"/>
          <w:color w:val="000000"/>
          <w:lang w:val="en-GB"/>
        </w:rPr>
        <w:t xml:space="preserve"> </w:t>
      </w:r>
      <w:r w:rsidR="008E0BDB">
        <w:rPr>
          <w:rFonts w:eastAsia="Times New Roman" w:cs="Arial"/>
          <w:color w:val="000000"/>
          <w:lang w:val="en-GB"/>
        </w:rPr>
        <w:t xml:space="preserve">implications for </w:t>
      </w:r>
      <w:r w:rsidR="00BB0916" w:rsidRPr="006061EE">
        <w:rPr>
          <w:rFonts w:eastAsia="Times New Roman" w:cs="Arial"/>
          <w:color w:val="000000"/>
          <w:lang w:val="en-GB"/>
        </w:rPr>
        <w:t xml:space="preserve">stakeholder </w:t>
      </w:r>
      <w:r w:rsidRPr="006061EE">
        <w:rPr>
          <w:rFonts w:eastAsia="Times New Roman" w:cs="Arial"/>
          <w:color w:val="000000"/>
          <w:lang w:val="en-GB"/>
        </w:rPr>
        <w:t xml:space="preserve">engagement </w:t>
      </w:r>
      <w:r w:rsidR="008E0BDB">
        <w:rPr>
          <w:rFonts w:eastAsia="Times New Roman" w:cs="Arial"/>
          <w:color w:val="000000"/>
          <w:lang w:val="en-GB"/>
        </w:rPr>
        <w:t xml:space="preserve">in </w:t>
      </w:r>
      <w:r w:rsidR="00BB0916" w:rsidRPr="006061EE">
        <w:rPr>
          <w:rFonts w:eastAsia="Times New Roman" w:cs="Arial"/>
          <w:color w:val="000000"/>
          <w:lang w:val="en-GB"/>
        </w:rPr>
        <w:t>the development of monitoring objectives and strategies</w:t>
      </w:r>
      <w:r w:rsidR="00C41EEE">
        <w:rPr>
          <w:rFonts w:eastAsia="Times New Roman" w:cs="Arial"/>
          <w:color w:val="000000"/>
          <w:lang w:val="en-GB"/>
        </w:rPr>
        <w:t xml:space="preserve"> </w:t>
      </w:r>
      <w:r w:rsidR="00B21502">
        <w:rPr>
          <w:rFonts w:eastAsia="Times New Roman" w:cs="Arial"/>
          <w:color w:val="000000"/>
          <w:lang w:val="en-GB"/>
        </w:rPr>
        <w:t xml:space="preserve">are </w:t>
      </w:r>
      <w:r w:rsidR="00D7490A">
        <w:rPr>
          <w:rFonts w:eastAsia="Times New Roman" w:cs="Arial"/>
          <w:color w:val="000000"/>
          <w:lang w:val="en-GB"/>
        </w:rPr>
        <w:t>discussed</w:t>
      </w:r>
      <w:r w:rsidR="00303373">
        <w:rPr>
          <w:rFonts w:eastAsia="Times New Roman" w:cs="Arial"/>
          <w:color w:val="000000"/>
          <w:lang w:val="en-GB"/>
        </w:rPr>
        <w:t xml:space="preserve">. </w:t>
      </w:r>
    </w:p>
    <w:p w:rsidR="00BB0916" w:rsidRPr="006061EE" w:rsidRDefault="00BB0916" w:rsidP="00C41EEE">
      <w:pPr>
        <w:rPr>
          <w:rFonts w:eastAsia="Times New Roman" w:cs="Arial"/>
          <w:color w:val="000000"/>
          <w:lang w:val="en-GB"/>
        </w:rPr>
      </w:pPr>
    </w:p>
    <w:p w:rsidR="000B3782" w:rsidRPr="001530F2" w:rsidRDefault="000B3782" w:rsidP="000B3782">
      <w:pPr>
        <w:rPr>
          <w:rStyle w:val="Starkbetoning"/>
          <w:rFonts w:cs="Arial"/>
          <w:i w:val="0"/>
          <w:color w:val="auto"/>
        </w:rPr>
      </w:pPr>
      <w:r w:rsidRPr="001530F2">
        <w:rPr>
          <w:rStyle w:val="Starkbetoning"/>
          <w:rFonts w:cs="Arial"/>
          <w:i w:val="0"/>
          <w:color w:val="auto"/>
        </w:rPr>
        <w:t>INTRODUCTION</w:t>
      </w:r>
    </w:p>
    <w:p w:rsidR="000B3782" w:rsidRPr="001530F2" w:rsidRDefault="000B3782" w:rsidP="000B3782">
      <w:pPr>
        <w:rPr>
          <w:rFonts w:cs="Arial"/>
        </w:rPr>
      </w:pPr>
    </w:p>
    <w:p w:rsidR="000B3782" w:rsidRPr="005975E9" w:rsidRDefault="000B3782" w:rsidP="000B3782">
      <w:pPr>
        <w:rPr>
          <w:rFonts w:cs="Arial"/>
        </w:rPr>
      </w:pPr>
      <w:r w:rsidRPr="005975E9">
        <w:rPr>
          <w:rFonts w:eastAsia="Times New Roman" w:cs="Arial"/>
          <w:color w:val="000000"/>
          <w:lang w:val="en-GB"/>
        </w:rPr>
        <w:t>Monitoring geological repositories for high-activity radioactive wastes has both technical and social dimensions</w:t>
      </w:r>
      <w:r>
        <w:rPr>
          <w:rFonts w:eastAsia="Times New Roman" w:cs="Arial"/>
          <w:color w:val="000000"/>
        </w:rPr>
        <w:t>.</w:t>
      </w:r>
      <w:r w:rsidRPr="005975E9">
        <w:rPr>
          <w:rFonts w:eastAsia="Times New Roman" w:cs="Arial"/>
          <w:color w:val="000000"/>
          <w:lang w:val="en-GB"/>
        </w:rPr>
        <w:t xml:space="preserve"> </w:t>
      </w:r>
      <w:r>
        <w:rPr>
          <w:rFonts w:eastAsia="Times New Roman" w:cs="Arial"/>
          <w:color w:val="000000"/>
        </w:rPr>
        <w:t xml:space="preserve">These two dimensions </w:t>
      </w:r>
      <w:r w:rsidRPr="005975E9">
        <w:rPr>
          <w:rFonts w:eastAsia="Times New Roman" w:cs="Arial"/>
          <w:color w:val="000000"/>
          <w:lang w:val="en-GB"/>
        </w:rPr>
        <w:t>are closely interrelated</w:t>
      </w:r>
      <w:r>
        <w:rPr>
          <w:rFonts w:eastAsia="Times New Roman" w:cs="Arial"/>
          <w:color w:val="000000"/>
        </w:rPr>
        <w:t xml:space="preserve">, to the extent that one may more properly characterise monitoring as a </w:t>
      </w:r>
      <w:r w:rsidRPr="005975E9">
        <w:rPr>
          <w:rFonts w:eastAsia="Times New Roman" w:cs="Arial"/>
          <w:i/>
          <w:color w:val="000000"/>
        </w:rPr>
        <w:t>socio-technical</w:t>
      </w:r>
      <w:r>
        <w:rPr>
          <w:rFonts w:eastAsia="Times New Roman" w:cs="Arial"/>
          <w:color w:val="000000"/>
        </w:rPr>
        <w:t xml:space="preserve"> activity</w:t>
      </w:r>
      <w:r w:rsidRPr="005975E9">
        <w:rPr>
          <w:rFonts w:eastAsia="Times New Roman" w:cs="Arial"/>
          <w:color w:val="000000"/>
          <w:lang w:val="en-GB"/>
        </w:rPr>
        <w:t xml:space="preserve">. </w:t>
      </w:r>
      <w:r>
        <w:rPr>
          <w:rFonts w:eastAsia="Times New Roman" w:cs="Arial"/>
          <w:color w:val="000000"/>
        </w:rPr>
        <w:t xml:space="preserve">In order to understand more fully the </w:t>
      </w:r>
      <w:r w:rsidRPr="005975E9">
        <w:rPr>
          <w:rFonts w:eastAsia="Times New Roman" w:cs="Arial"/>
          <w:color w:val="000000"/>
          <w:lang w:val="en-GB"/>
        </w:rPr>
        <w:t xml:space="preserve">implications of this for </w:t>
      </w:r>
      <w:r w:rsidR="00795362">
        <w:rPr>
          <w:rFonts w:eastAsia="Times New Roman" w:cs="Arial"/>
          <w:color w:val="000000"/>
          <w:lang w:val="en-GB"/>
        </w:rPr>
        <w:t xml:space="preserve">the development of effective monitoring </w:t>
      </w:r>
      <w:r>
        <w:rPr>
          <w:rFonts w:eastAsia="Times New Roman" w:cs="Arial"/>
          <w:color w:val="000000"/>
        </w:rPr>
        <w:t>programmes</w:t>
      </w:r>
      <w:r w:rsidRPr="005975E9">
        <w:rPr>
          <w:rFonts w:eastAsia="Times New Roman" w:cs="Arial"/>
          <w:color w:val="000000"/>
          <w:lang w:val="en-GB"/>
        </w:rPr>
        <w:t xml:space="preserve">, </w:t>
      </w:r>
      <w:r>
        <w:rPr>
          <w:rFonts w:eastAsia="Times New Roman" w:cs="Arial"/>
          <w:color w:val="000000"/>
        </w:rPr>
        <w:t xml:space="preserve">the </w:t>
      </w:r>
      <w:r w:rsidR="00795362">
        <w:rPr>
          <w:rFonts w:eastAsia="Times New Roman" w:cs="Arial"/>
          <w:color w:val="000000"/>
        </w:rPr>
        <w:t xml:space="preserve">perspectives and </w:t>
      </w:r>
      <w:r w:rsidRPr="005975E9">
        <w:rPr>
          <w:rFonts w:eastAsia="Times New Roman" w:cs="Arial"/>
          <w:color w:val="000000"/>
          <w:lang w:val="en-GB"/>
        </w:rPr>
        <w:t xml:space="preserve">expectations of </w:t>
      </w:r>
      <w:r>
        <w:rPr>
          <w:rFonts w:eastAsia="Times New Roman" w:cs="Arial"/>
          <w:color w:val="000000"/>
        </w:rPr>
        <w:t xml:space="preserve">technical experts and other specialists within waste management agencies and associated research organisations </w:t>
      </w:r>
      <w:r w:rsidR="00795362">
        <w:rPr>
          <w:rFonts w:eastAsia="Times New Roman" w:cs="Arial"/>
          <w:color w:val="000000"/>
        </w:rPr>
        <w:t xml:space="preserve">on </w:t>
      </w:r>
      <w:r w:rsidRPr="005975E9">
        <w:rPr>
          <w:rFonts w:eastAsia="Times New Roman" w:cs="Arial"/>
          <w:color w:val="000000"/>
          <w:lang w:val="en-GB"/>
        </w:rPr>
        <w:t xml:space="preserve">repository monitoring and the functions that it is expected to serve were </w:t>
      </w:r>
      <w:r w:rsidR="00795362">
        <w:rPr>
          <w:rFonts w:eastAsia="Times New Roman" w:cs="Arial"/>
          <w:color w:val="000000"/>
          <w:lang w:val="en-GB"/>
        </w:rPr>
        <w:t xml:space="preserve">sought and </w:t>
      </w:r>
      <w:r w:rsidRPr="005975E9">
        <w:rPr>
          <w:rFonts w:eastAsia="Times New Roman" w:cs="Arial"/>
          <w:color w:val="000000"/>
          <w:lang w:val="en-GB"/>
        </w:rPr>
        <w:t xml:space="preserve">analysed. </w:t>
      </w:r>
      <w:r w:rsidR="00795362">
        <w:rPr>
          <w:rFonts w:eastAsia="Times New Roman" w:cs="Arial"/>
          <w:color w:val="000000"/>
          <w:lang w:val="en-GB"/>
        </w:rPr>
        <w:t xml:space="preserve">The research was carried out as part of a multidisciplinary </w:t>
      </w:r>
      <w:r w:rsidR="00795362">
        <w:rPr>
          <w:rFonts w:cs="Arial"/>
          <w:lang w:val="en-GB"/>
        </w:rPr>
        <w:t xml:space="preserve">international </w:t>
      </w:r>
      <w:r w:rsidR="00795362" w:rsidRPr="006061EE">
        <w:rPr>
          <w:rFonts w:eastAsia="Times New Roman" w:cs="Arial"/>
          <w:color w:val="000000"/>
          <w:lang w:val="en-GB"/>
        </w:rPr>
        <w:t>research project on Monitoring Developments for Safe Repository Operation and Staged Closure (MoDeRn)</w:t>
      </w:r>
      <w:r w:rsidR="00795362">
        <w:rPr>
          <w:rFonts w:eastAsia="Times New Roman" w:cs="Arial"/>
          <w:color w:val="000000"/>
          <w:lang w:val="en-GB"/>
        </w:rPr>
        <w:t>.</w:t>
      </w:r>
      <w:r w:rsidR="005C4AC8">
        <w:rPr>
          <w:rStyle w:val="FootnoteReference"/>
          <w:rFonts w:eastAsia="Times New Roman" w:cs="Arial"/>
          <w:color w:val="000000"/>
          <w:lang w:val="en-GB"/>
        </w:rPr>
        <w:footnoteReference w:id="1"/>
      </w:r>
      <w:r w:rsidR="00795362" w:rsidRPr="006061EE">
        <w:rPr>
          <w:rFonts w:eastAsia="Times New Roman" w:cs="Arial"/>
          <w:color w:val="000000"/>
          <w:lang w:val="en-GB"/>
        </w:rPr>
        <w:t xml:space="preserve"> </w:t>
      </w:r>
      <w:r w:rsidR="00F60A8A">
        <w:rPr>
          <w:rFonts w:eastAsia="Times New Roman" w:cs="Arial"/>
          <w:color w:val="000000"/>
          <w:lang w:val="en-GB"/>
        </w:rPr>
        <w:t>D</w:t>
      </w:r>
      <w:r w:rsidR="00795362">
        <w:rPr>
          <w:rFonts w:eastAsia="Times New Roman" w:cs="Arial"/>
          <w:color w:val="000000"/>
          <w:lang w:val="en-GB"/>
        </w:rPr>
        <w:t>ata were drawn from</w:t>
      </w:r>
      <w:r w:rsidRPr="005975E9">
        <w:rPr>
          <w:rFonts w:eastAsia="Times New Roman" w:cs="Arial"/>
          <w:color w:val="000000"/>
          <w:lang w:val="en-GB"/>
        </w:rPr>
        <w:t xml:space="preserve">: strategic and technical documents on monitoring produced by international organisations </w:t>
      </w:r>
      <w:r w:rsidR="00795362">
        <w:rPr>
          <w:rFonts w:eastAsia="Times New Roman" w:cs="Arial"/>
          <w:color w:val="000000"/>
          <w:lang w:val="en-GB"/>
        </w:rPr>
        <w:t xml:space="preserve">and </w:t>
      </w:r>
      <w:r w:rsidRPr="005975E9">
        <w:rPr>
          <w:rFonts w:eastAsia="Times New Roman" w:cs="Arial"/>
          <w:color w:val="000000"/>
          <w:lang w:val="en-GB"/>
        </w:rPr>
        <w:t>projects</w:t>
      </w:r>
      <w:r w:rsidR="00795362">
        <w:rPr>
          <w:rFonts w:eastAsia="Times New Roman" w:cs="Arial"/>
          <w:color w:val="000000"/>
          <w:lang w:val="en-GB"/>
        </w:rPr>
        <w:t xml:space="preserve">, as well as </w:t>
      </w:r>
      <w:r w:rsidR="00EB7E9E">
        <w:rPr>
          <w:rFonts w:eastAsia="Times New Roman" w:cs="Arial"/>
          <w:color w:val="000000"/>
          <w:lang w:val="en-GB"/>
        </w:rPr>
        <w:t xml:space="preserve">by </w:t>
      </w:r>
      <w:r w:rsidR="00795362" w:rsidRPr="005975E9">
        <w:rPr>
          <w:rFonts w:eastAsia="Times New Roman" w:cs="Arial"/>
          <w:color w:val="000000"/>
          <w:lang w:val="en-GB"/>
        </w:rPr>
        <w:t>national agencies</w:t>
      </w:r>
      <w:r w:rsidRPr="005975E9">
        <w:rPr>
          <w:rFonts w:eastAsia="Times New Roman" w:cs="Arial"/>
          <w:color w:val="000000"/>
          <w:lang w:val="en-GB"/>
        </w:rPr>
        <w:t xml:space="preserve">; interviews with </w:t>
      </w:r>
      <w:r w:rsidR="001F3A42">
        <w:rPr>
          <w:rFonts w:eastAsia="Times New Roman" w:cs="Arial"/>
          <w:color w:val="000000"/>
          <w:lang w:val="en-GB"/>
        </w:rPr>
        <w:t xml:space="preserve">18 </w:t>
      </w:r>
      <w:r w:rsidRPr="005975E9">
        <w:rPr>
          <w:rFonts w:eastAsia="Times New Roman" w:cs="Arial"/>
          <w:color w:val="000000"/>
          <w:lang w:val="en-GB"/>
        </w:rPr>
        <w:t xml:space="preserve">specialists in </w:t>
      </w:r>
      <w:r w:rsidR="0032640D">
        <w:rPr>
          <w:rFonts w:eastAsia="Times New Roman" w:cs="Arial"/>
          <w:color w:val="000000"/>
          <w:lang w:val="en-GB"/>
        </w:rPr>
        <w:t xml:space="preserve">European </w:t>
      </w:r>
      <w:r w:rsidRPr="005975E9">
        <w:rPr>
          <w:rFonts w:eastAsia="Times New Roman" w:cs="Arial"/>
          <w:color w:val="000000"/>
          <w:lang w:val="en-GB"/>
        </w:rPr>
        <w:t xml:space="preserve">radioactive waste management organisations </w:t>
      </w:r>
      <w:r w:rsidR="001F3A42">
        <w:rPr>
          <w:rFonts w:eastAsia="Times New Roman" w:cs="Arial"/>
          <w:color w:val="000000"/>
          <w:lang w:val="en-GB"/>
        </w:rPr>
        <w:t xml:space="preserve">which covered their views </w:t>
      </w:r>
      <w:r w:rsidRPr="005975E9">
        <w:rPr>
          <w:rFonts w:eastAsia="Times New Roman" w:cs="Arial"/>
          <w:color w:val="000000"/>
          <w:lang w:val="en-GB"/>
        </w:rPr>
        <w:t xml:space="preserve">on monitoring and their perceptions of societal concerns and expectations; </w:t>
      </w:r>
      <w:r w:rsidR="0032640D">
        <w:rPr>
          <w:rFonts w:eastAsia="Times New Roman" w:cs="Arial"/>
          <w:color w:val="000000"/>
          <w:lang w:val="en-GB"/>
        </w:rPr>
        <w:t>and observation</w:t>
      </w:r>
      <w:r w:rsidRPr="005975E9">
        <w:rPr>
          <w:rFonts w:eastAsia="Times New Roman" w:cs="Arial"/>
          <w:color w:val="000000"/>
          <w:lang w:val="en-GB"/>
        </w:rPr>
        <w:t xml:space="preserve"> </w:t>
      </w:r>
      <w:r w:rsidR="0032640D">
        <w:rPr>
          <w:rFonts w:eastAsia="Times New Roman" w:cs="Arial"/>
          <w:color w:val="000000"/>
          <w:lang w:val="en-GB"/>
        </w:rPr>
        <w:t xml:space="preserve">of </w:t>
      </w:r>
      <w:r w:rsidRPr="005975E9">
        <w:rPr>
          <w:rFonts w:eastAsia="Times New Roman" w:cs="Arial"/>
          <w:color w:val="000000"/>
          <w:lang w:val="en-GB"/>
        </w:rPr>
        <w:t xml:space="preserve">technical workshops on repository monitoring.  </w:t>
      </w:r>
      <w:r w:rsidR="00A05220">
        <w:rPr>
          <w:rFonts w:eastAsia="Times New Roman" w:cs="Arial"/>
          <w:color w:val="000000"/>
          <w:lang w:val="en-GB"/>
        </w:rPr>
        <w:t>Where possible</w:t>
      </w:r>
      <w:r w:rsidR="0032640D">
        <w:rPr>
          <w:rFonts w:eastAsia="Times New Roman" w:cs="Arial"/>
          <w:color w:val="000000"/>
          <w:lang w:val="en-GB"/>
        </w:rPr>
        <w:t>,</w:t>
      </w:r>
      <w:r w:rsidR="00A05220">
        <w:rPr>
          <w:rFonts w:eastAsia="Times New Roman" w:cs="Arial"/>
          <w:color w:val="000000"/>
          <w:lang w:val="en-GB"/>
        </w:rPr>
        <w:t xml:space="preserve"> </w:t>
      </w:r>
      <w:r w:rsidR="00EB7E9E">
        <w:rPr>
          <w:rFonts w:eastAsia="Times New Roman" w:cs="Arial"/>
          <w:color w:val="000000"/>
          <w:lang w:val="en-GB"/>
        </w:rPr>
        <w:t xml:space="preserve">interviews were </w:t>
      </w:r>
      <w:r w:rsidR="00A05220">
        <w:rPr>
          <w:rFonts w:eastAsia="Times New Roman" w:cs="Arial"/>
          <w:color w:val="000000"/>
          <w:lang w:val="en-GB"/>
        </w:rPr>
        <w:t xml:space="preserve">recorded and </w:t>
      </w:r>
      <w:r w:rsidR="0032640D">
        <w:rPr>
          <w:rFonts w:eastAsia="Times New Roman" w:cs="Arial"/>
          <w:color w:val="000000"/>
          <w:lang w:val="en-GB"/>
        </w:rPr>
        <w:t xml:space="preserve">fully </w:t>
      </w:r>
      <w:r w:rsidR="00EB7E9E">
        <w:rPr>
          <w:rFonts w:eastAsia="Times New Roman" w:cs="Arial"/>
          <w:color w:val="000000"/>
          <w:lang w:val="en-GB"/>
        </w:rPr>
        <w:t>transcribed to facilitate analysis</w:t>
      </w:r>
      <w:r w:rsidR="0032640D">
        <w:rPr>
          <w:rFonts w:eastAsia="Times New Roman" w:cs="Arial"/>
          <w:color w:val="000000"/>
          <w:lang w:val="en-GB"/>
        </w:rPr>
        <w:t xml:space="preserve">, which </w:t>
      </w:r>
      <w:r w:rsidR="00F60A8A">
        <w:rPr>
          <w:rFonts w:eastAsia="Times New Roman" w:cs="Arial"/>
          <w:color w:val="000000"/>
          <w:lang w:val="en-GB"/>
        </w:rPr>
        <w:t xml:space="preserve">consisted of thematic content analysis. Interpretation </w:t>
      </w:r>
      <w:r w:rsidR="0032640D">
        <w:rPr>
          <w:rFonts w:eastAsia="Times New Roman" w:cs="Arial"/>
          <w:color w:val="000000"/>
          <w:lang w:val="en-GB"/>
        </w:rPr>
        <w:t xml:space="preserve">of the results </w:t>
      </w:r>
      <w:r w:rsidR="00F60A8A">
        <w:rPr>
          <w:rFonts w:eastAsia="Times New Roman" w:cs="Arial"/>
          <w:color w:val="000000"/>
          <w:lang w:val="en-GB"/>
        </w:rPr>
        <w:t xml:space="preserve">was supported by reference to the research literature in the field of </w:t>
      </w:r>
      <w:r w:rsidR="00B21502">
        <w:rPr>
          <w:rFonts w:eastAsia="Times New Roman" w:cs="Arial"/>
          <w:color w:val="000000"/>
          <w:lang w:val="en-GB"/>
        </w:rPr>
        <w:t xml:space="preserve">social studies of </w:t>
      </w:r>
      <w:r w:rsidR="00F60A8A">
        <w:rPr>
          <w:rFonts w:eastAsia="Times New Roman" w:cs="Arial"/>
          <w:color w:val="000000"/>
          <w:lang w:val="en-GB"/>
        </w:rPr>
        <w:t xml:space="preserve">science and technology. The main findings are </w:t>
      </w:r>
      <w:r w:rsidR="00EB7E9E">
        <w:rPr>
          <w:rFonts w:eastAsia="Times New Roman" w:cs="Arial"/>
          <w:color w:val="000000"/>
          <w:lang w:val="en-GB"/>
        </w:rPr>
        <w:t xml:space="preserve">summarised </w:t>
      </w:r>
      <w:r w:rsidR="00F60A8A">
        <w:rPr>
          <w:rFonts w:eastAsia="Times New Roman" w:cs="Arial"/>
          <w:color w:val="000000"/>
          <w:lang w:val="en-GB"/>
        </w:rPr>
        <w:t xml:space="preserve">in the next section, followed by a discussion </w:t>
      </w:r>
      <w:r w:rsidR="00EB7E9E">
        <w:rPr>
          <w:rFonts w:eastAsia="Times New Roman" w:cs="Arial"/>
          <w:color w:val="000000"/>
          <w:lang w:val="en-GB"/>
        </w:rPr>
        <w:t xml:space="preserve">that relates them to </w:t>
      </w:r>
      <w:r w:rsidR="00B107D9">
        <w:rPr>
          <w:rFonts w:eastAsia="Times New Roman" w:cs="Arial"/>
          <w:color w:val="000000"/>
          <w:lang w:val="en-GB"/>
        </w:rPr>
        <w:t xml:space="preserve">the </w:t>
      </w:r>
      <w:r w:rsidR="00A05220">
        <w:rPr>
          <w:rFonts w:eastAsia="Times New Roman" w:cs="Arial"/>
          <w:color w:val="000000"/>
          <w:lang w:val="en-GB"/>
        </w:rPr>
        <w:t>social-</w:t>
      </w:r>
      <w:r w:rsidR="00EB7E9E">
        <w:rPr>
          <w:rFonts w:eastAsia="Times New Roman" w:cs="Arial"/>
          <w:color w:val="000000"/>
          <w:lang w:val="en-GB"/>
        </w:rPr>
        <w:t xml:space="preserve">theoretical and </w:t>
      </w:r>
      <w:r w:rsidR="00A05220">
        <w:rPr>
          <w:rFonts w:eastAsia="Times New Roman" w:cs="Arial"/>
          <w:color w:val="000000"/>
          <w:lang w:val="en-GB"/>
        </w:rPr>
        <w:t xml:space="preserve">social </w:t>
      </w:r>
      <w:r w:rsidR="00EB7E9E">
        <w:rPr>
          <w:rFonts w:eastAsia="Times New Roman" w:cs="Arial"/>
          <w:color w:val="000000"/>
          <w:lang w:val="en-GB"/>
        </w:rPr>
        <w:t xml:space="preserve">research literature, and </w:t>
      </w:r>
      <w:r w:rsidR="00B107D9">
        <w:rPr>
          <w:rFonts w:eastAsia="Times New Roman" w:cs="Arial"/>
          <w:color w:val="000000"/>
          <w:lang w:val="en-GB"/>
        </w:rPr>
        <w:t>the final section considers</w:t>
      </w:r>
      <w:r w:rsidR="00EB7E9E">
        <w:rPr>
          <w:rFonts w:eastAsia="Times New Roman" w:cs="Arial"/>
          <w:color w:val="000000"/>
          <w:lang w:val="en-GB"/>
        </w:rPr>
        <w:t xml:space="preserve"> </w:t>
      </w:r>
      <w:r w:rsidR="00A05220">
        <w:rPr>
          <w:rFonts w:eastAsia="Times New Roman" w:cs="Arial"/>
          <w:color w:val="000000"/>
          <w:lang w:val="en-GB"/>
        </w:rPr>
        <w:t>the</w:t>
      </w:r>
      <w:r w:rsidR="00F60A8A">
        <w:rPr>
          <w:rFonts w:eastAsia="Times New Roman" w:cs="Arial"/>
          <w:color w:val="000000"/>
          <w:lang w:val="en-GB"/>
        </w:rPr>
        <w:t xml:space="preserve"> implications for the use of </w:t>
      </w:r>
      <w:r w:rsidRPr="005975E9">
        <w:rPr>
          <w:rFonts w:eastAsia="Times New Roman" w:cs="Arial"/>
          <w:color w:val="000000"/>
          <w:lang w:val="en-GB"/>
        </w:rPr>
        <w:t xml:space="preserve">monitoring </w:t>
      </w:r>
      <w:r w:rsidR="00F60A8A">
        <w:rPr>
          <w:rFonts w:eastAsia="Times New Roman" w:cs="Arial"/>
          <w:color w:val="000000"/>
          <w:lang w:val="en-GB"/>
        </w:rPr>
        <w:t>as a means of enhancing</w:t>
      </w:r>
      <w:r w:rsidRPr="005975E9">
        <w:rPr>
          <w:rFonts w:eastAsia="Times New Roman" w:cs="Arial"/>
          <w:color w:val="000000"/>
          <w:lang w:val="en-GB"/>
        </w:rPr>
        <w:t xml:space="preserve"> public </w:t>
      </w:r>
      <w:r w:rsidR="00EB7E9E">
        <w:rPr>
          <w:rFonts w:eastAsia="Times New Roman" w:cs="Arial"/>
          <w:color w:val="000000"/>
          <w:lang w:val="en-GB"/>
        </w:rPr>
        <w:t xml:space="preserve">and stakeholder </w:t>
      </w:r>
      <w:r w:rsidRPr="005975E9">
        <w:rPr>
          <w:rFonts w:eastAsia="Times New Roman" w:cs="Arial"/>
          <w:color w:val="000000"/>
          <w:lang w:val="en-GB"/>
        </w:rPr>
        <w:t xml:space="preserve">confidence </w:t>
      </w:r>
      <w:r w:rsidR="00F60A8A">
        <w:rPr>
          <w:rFonts w:eastAsia="Times New Roman" w:cs="Arial"/>
          <w:color w:val="000000"/>
          <w:lang w:val="en-GB"/>
        </w:rPr>
        <w:t xml:space="preserve">in geological disposal. </w:t>
      </w:r>
    </w:p>
    <w:p w:rsidR="000B3782" w:rsidRPr="001530F2" w:rsidRDefault="000B3782" w:rsidP="000B3782">
      <w:pPr>
        <w:rPr>
          <w:rFonts w:cs="Arial"/>
        </w:rPr>
      </w:pPr>
    </w:p>
    <w:p w:rsidR="000B3782" w:rsidRPr="001530F2" w:rsidRDefault="000B3782" w:rsidP="00EB7E9E">
      <w:pPr>
        <w:keepNext/>
        <w:keepLines/>
        <w:rPr>
          <w:rStyle w:val="Starkbetoning"/>
          <w:rFonts w:cs="Arial"/>
          <w:i w:val="0"/>
          <w:color w:val="auto"/>
        </w:rPr>
      </w:pPr>
      <w:r w:rsidRPr="001530F2">
        <w:rPr>
          <w:rStyle w:val="Starkbetoning"/>
          <w:rFonts w:cs="Arial"/>
          <w:i w:val="0"/>
          <w:color w:val="auto"/>
        </w:rPr>
        <w:lastRenderedPageBreak/>
        <w:t>EXPERT VIEWS ON MONITORING</w:t>
      </w:r>
    </w:p>
    <w:p w:rsidR="000B3782" w:rsidRPr="001530F2" w:rsidRDefault="000B3782" w:rsidP="00EB7E9E">
      <w:pPr>
        <w:keepNext/>
        <w:keepLines/>
        <w:rPr>
          <w:rFonts w:cs="Arial"/>
        </w:rPr>
      </w:pPr>
    </w:p>
    <w:p w:rsidR="000B3782" w:rsidRPr="001530F2" w:rsidRDefault="000B3782" w:rsidP="00EB7E9E">
      <w:pPr>
        <w:keepNext/>
        <w:keepLines/>
        <w:rPr>
          <w:rFonts w:cs="Arial"/>
        </w:rPr>
      </w:pPr>
      <w:r w:rsidRPr="001530F2">
        <w:rPr>
          <w:rFonts w:cs="Arial"/>
        </w:rPr>
        <w:t>The structural integration of monitoring activities in</w:t>
      </w:r>
      <w:r>
        <w:rPr>
          <w:rFonts w:cs="Arial"/>
        </w:rPr>
        <w:t>to</w:t>
      </w:r>
      <w:r w:rsidRPr="001530F2">
        <w:rPr>
          <w:rFonts w:cs="Arial"/>
        </w:rPr>
        <w:t xml:space="preserve"> the geological disposal process is </w:t>
      </w:r>
      <w:r>
        <w:rPr>
          <w:rFonts w:cs="Arial"/>
        </w:rPr>
        <w:t xml:space="preserve">a </w:t>
      </w:r>
      <w:r w:rsidRPr="001530F2">
        <w:rPr>
          <w:rFonts w:cs="Arial"/>
        </w:rPr>
        <w:t xml:space="preserve">relatively recent </w:t>
      </w:r>
      <w:r>
        <w:rPr>
          <w:rFonts w:cs="Arial"/>
        </w:rPr>
        <w:t>development</w:t>
      </w:r>
      <w:r w:rsidRPr="001530F2">
        <w:rPr>
          <w:rFonts w:cs="Arial"/>
        </w:rPr>
        <w:t xml:space="preserve">. </w:t>
      </w:r>
      <w:r w:rsidR="0042799A">
        <w:rPr>
          <w:rFonts w:cs="Arial"/>
        </w:rPr>
        <w:t xml:space="preserve">This has been marked at international level by </w:t>
      </w:r>
      <w:r w:rsidR="00A05220">
        <w:rPr>
          <w:rFonts w:cs="Arial"/>
        </w:rPr>
        <w:t>an International Atomic Energy Agency report</w:t>
      </w:r>
      <w:r w:rsidR="00E51A19">
        <w:rPr>
          <w:rFonts w:cs="Arial"/>
        </w:rPr>
        <w:t>, published in 2001,</w:t>
      </w:r>
      <w:r w:rsidR="00A05220">
        <w:rPr>
          <w:rFonts w:cs="Arial"/>
        </w:rPr>
        <w:t xml:space="preserve"> </w:t>
      </w:r>
      <w:r w:rsidR="00E51A19">
        <w:rPr>
          <w:rFonts w:cs="Arial"/>
        </w:rPr>
        <w:t xml:space="preserve">on monitoring of geological repositories for high level radioactive waste, </w:t>
      </w:r>
      <w:r w:rsidR="0042799A">
        <w:rPr>
          <w:rFonts w:cs="Arial"/>
        </w:rPr>
        <w:t xml:space="preserve">and the inclusion of </w:t>
      </w:r>
      <w:r w:rsidR="00F873B0">
        <w:rPr>
          <w:rFonts w:cs="Arial"/>
        </w:rPr>
        <w:t xml:space="preserve">safety requirements relating to monitoring strategies in its Safety Standards document published in 2006 </w:t>
      </w:r>
      <w:r w:rsidR="0042799A">
        <w:rPr>
          <w:rFonts w:cs="Arial"/>
        </w:rPr>
        <w:t>[1</w:t>
      </w:r>
      <w:r w:rsidR="00F873B0">
        <w:rPr>
          <w:rFonts w:cs="Arial"/>
        </w:rPr>
        <w:t>, 2</w:t>
      </w:r>
      <w:r w:rsidR="0042799A">
        <w:rPr>
          <w:rFonts w:cs="Arial"/>
        </w:rPr>
        <w:t>]</w:t>
      </w:r>
      <w:r w:rsidRPr="001530F2">
        <w:rPr>
          <w:rFonts w:cs="Arial"/>
        </w:rPr>
        <w:t xml:space="preserve">. The </w:t>
      </w:r>
      <w:r w:rsidR="00A05220">
        <w:rPr>
          <w:rFonts w:cs="Arial"/>
        </w:rPr>
        <w:t xml:space="preserve">2004 report </w:t>
      </w:r>
      <w:r w:rsidRPr="001530F2">
        <w:rPr>
          <w:rFonts w:cs="Arial"/>
        </w:rPr>
        <w:t xml:space="preserve">of the European Thematic Network on the role of monitoring in a phased approach to the geological disposal of radioactive waste </w:t>
      </w:r>
      <w:r w:rsidR="003A10B0">
        <w:rPr>
          <w:rFonts w:cs="Arial"/>
        </w:rPr>
        <w:t xml:space="preserve">was </w:t>
      </w:r>
      <w:r w:rsidR="00F873B0">
        <w:rPr>
          <w:rFonts w:cs="Arial"/>
        </w:rPr>
        <w:t xml:space="preserve">also </w:t>
      </w:r>
      <w:r w:rsidR="003A10B0">
        <w:rPr>
          <w:rFonts w:cs="Arial"/>
        </w:rPr>
        <w:t xml:space="preserve">cited as </w:t>
      </w:r>
      <w:r w:rsidRPr="001530F2">
        <w:rPr>
          <w:rFonts w:cs="Arial"/>
        </w:rPr>
        <w:t>an important point of reference</w:t>
      </w:r>
      <w:r w:rsidR="00BC6135">
        <w:rPr>
          <w:rFonts w:cs="Arial"/>
        </w:rPr>
        <w:t xml:space="preserve"> </w:t>
      </w:r>
      <w:r w:rsidR="00F873B0">
        <w:rPr>
          <w:rFonts w:cs="Arial"/>
        </w:rPr>
        <w:t>[3</w:t>
      </w:r>
      <w:r w:rsidR="00BC6135">
        <w:rPr>
          <w:rFonts w:cs="Arial"/>
        </w:rPr>
        <w:t>]</w:t>
      </w:r>
      <w:r w:rsidRPr="001530F2">
        <w:rPr>
          <w:rFonts w:cs="Arial"/>
        </w:rPr>
        <w:t>.</w:t>
      </w:r>
      <w:r w:rsidR="00E51A19">
        <w:rPr>
          <w:rFonts w:cs="Arial"/>
        </w:rPr>
        <w:t xml:space="preserve"> These documents identify a number of different types of monitoring</w:t>
      </w:r>
      <w:r w:rsidR="00263139">
        <w:rPr>
          <w:rFonts w:cs="Arial"/>
        </w:rPr>
        <w:t>:</w:t>
      </w:r>
      <w:r w:rsidR="00E51A19">
        <w:rPr>
          <w:rFonts w:cs="Arial"/>
        </w:rPr>
        <w:t xml:space="preserve"> monitoring </w:t>
      </w:r>
      <w:r w:rsidR="00263139">
        <w:rPr>
          <w:rFonts w:cs="Arial"/>
        </w:rPr>
        <w:t xml:space="preserve">related to occupational </w:t>
      </w:r>
      <w:r w:rsidR="00E51A19">
        <w:rPr>
          <w:rFonts w:cs="Arial"/>
        </w:rPr>
        <w:t>health and safety</w:t>
      </w:r>
      <w:r w:rsidR="00263139">
        <w:rPr>
          <w:rFonts w:cs="Arial"/>
        </w:rPr>
        <w:t xml:space="preserve"> during the operational phase;</w:t>
      </w:r>
      <w:r w:rsidR="00E51A19">
        <w:rPr>
          <w:rFonts w:cs="Arial"/>
        </w:rPr>
        <w:t xml:space="preserve"> </w:t>
      </w:r>
      <w:r w:rsidR="00263139">
        <w:rPr>
          <w:rFonts w:cs="Arial"/>
        </w:rPr>
        <w:t xml:space="preserve">monitoring the surrounding environment </w:t>
      </w:r>
      <w:r w:rsidR="00E51A19">
        <w:rPr>
          <w:rFonts w:cs="Arial"/>
        </w:rPr>
        <w:t>for environmental protection</w:t>
      </w:r>
      <w:r w:rsidR="00263139">
        <w:rPr>
          <w:rFonts w:cs="Arial"/>
        </w:rPr>
        <w:t>;</w:t>
      </w:r>
      <w:r w:rsidR="00E51A19">
        <w:rPr>
          <w:rFonts w:cs="Arial"/>
        </w:rPr>
        <w:t xml:space="preserve"> </w:t>
      </w:r>
      <w:r w:rsidR="00263139">
        <w:rPr>
          <w:rFonts w:cs="Arial"/>
        </w:rPr>
        <w:t>monitoring repository processes for a variety of technical reasons and to support staged decision making</w:t>
      </w:r>
      <w:r w:rsidR="001F3A42">
        <w:rPr>
          <w:rFonts w:cs="Arial"/>
        </w:rPr>
        <w:t>; and safeguard monitoring to prevent nuclear proliferation</w:t>
      </w:r>
      <w:r w:rsidR="00263139">
        <w:rPr>
          <w:rFonts w:cs="Arial"/>
        </w:rPr>
        <w:t xml:space="preserve">. </w:t>
      </w:r>
      <w:r w:rsidR="001F3A42">
        <w:rPr>
          <w:rFonts w:cs="Arial"/>
        </w:rPr>
        <w:t>In addition, these and other documents state that monitoring can support public confidence.</w:t>
      </w:r>
    </w:p>
    <w:p w:rsidR="000B3782" w:rsidRPr="001530F2" w:rsidRDefault="000B3782" w:rsidP="000B3782">
      <w:pPr>
        <w:rPr>
          <w:rFonts w:cs="Arial"/>
        </w:rPr>
      </w:pPr>
    </w:p>
    <w:p w:rsidR="000B3782" w:rsidRPr="001530F2" w:rsidRDefault="00B46631" w:rsidP="000B3782">
      <w:pPr>
        <w:rPr>
          <w:rFonts w:cs="Arial"/>
        </w:rPr>
      </w:pPr>
      <w:r>
        <w:rPr>
          <w:rFonts w:cs="Arial"/>
        </w:rPr>
        <w:t>I</w:t>
      </w:r>
      <w:r w:rsidR="000B3782" w:rsidRPr="001530F2">
        <w:rPr>
          <w:rFonts w:cs="Arial"/>
        </w:rPr>
        <w:t xml:space="preserve">n the MoDeRn project </w:t>
      </w:r>
      <w:r>
        <w:rPr>
          <w:rFonts w:cs="Arial"/>
        </w:rPr>
        <w:t xml:space="preserve">the focus is on strategies for measuring </w:t>
      </w:r>
      <w:r w:rsidRPr="001530F2">
        <w:rPr>
          <w:rFonts w:cs="Arial"/>
        </w:rPr>
        <w:t>the behaviour of the repository system</w:t>
      </w:r>
      <w:r>
        <w:rPr>
          <w:rFonts w:cs="Arial"/>
        </w:rPr>
        <w:t xml:space="preserve">. </w:t>
      </w:r>
      <w:r w:rsidRPr="001530F2">
        <w:rPr>
          <w:rFonts w:cs="Arial"/>
        </w:rPr>
        <w:t xml:space="preserve">For the experts interviewed, </w:t>
      </w:r>
      <w:r w:rsidR="000B3782" w:rsidRPr="001530F2">
        <w:rPr>
          <w:rFonts w:cs="Arial"/>
        </w:rPr>
        <w:t xml:space="preserve">monitoring </w:t>
      </w:r>
      <w:r>
        <w:rPr>
          <w:rFonts w:cs="Arial"/>
        </w:rPr>
        <w:t xml:space="preserve">is therefore </w:t>
      </w:r>
      <w:r w:rsidR="000B3782" w:rsidRPr="001530F2">
        <w:rPr>
          <w:rFonts w:cs="Arial"/>
        </w:rPr>
        <w:t xml:space="preserve">about seeking confirmation that </w:t>
      </w:r>
      <w:r>
        <w:rPr>
          <w:rFonts w:cs="Arial"/>
        </w:rPr>
        <w:t xml:space="preserve">the </w:t>
      </w:r>
      <w:r w:rsidR="001F3A42">
        <w:rPr>
          <w:rFonts w:cs="Arial"/>
        </w:rPr>
        <w:t>repository</w:t>
      </w:r>
      <w:r w:rsidR="000B3782" w:rsidRPr="001530F2">
        <w:rPr>
          <w:rFonts w:cs="Arial"/>
        </w:rPr>
        <w:t xml:space="preserve"> perform</w:t>
      </w:r>
      <w:r w:rsidR="001F3A42">
        <w:rPr>
          <w:rFonts w:cs="Arial"/>
        </w:rPr>
        <w:t>s</w:t>
      </w:r>
      <w:r w:rsidR="000B3782" w:rsidRPr="001530F2">
        <w:rPr>
          <w:rFonts w:cs="Arial"/>
        </w:rPr>
        <w:t xml:space="preserve"> as required and that the</w:t>
      </w:r>
      <w:r w:rsidR="001F3A42">
        <w:rPr>
          <w:rFonts w:cs="Arial"/>
        </w:rPr>
        <w:t>ir</w:t>
      </w:r>
      <w:r w:rsidR="000B3782" w:rsidRPr="001530F2">
        <w:rPr>
          <w:rFonts w:cs="Arial"/>
        </w:rPr>
        <w:t xml:space="preserve"> </w:t>
      </w:r>
      <w:r w:rsidR="001F3A42">
        <w:rPr>
          <w:rFonts w:cs="Arial"/>
        </w:rPr>
        <w:t>science-based expectations about the evolution of the repository system</w:t>
      </w:r>
      <w:r>
        <w:rPr>
          <w:rFonts w:cs="Arial"/>
        </w:rPr>
        <w:t>, on which the safety case is based,</w:t>
      </w:r>
      <w:r w:rsidR="001F3A42">
        <w:rPr>
          <w:rFonts w:cs="Arial"/>
        </w:rPr>
        <w:t xml:space="preserve"> a</w:t>
      </w:r>
      <w:r w:rsidR="000B3782" w:rsidRPr="001530F2">
        <w:rPr>
          <w:rFonts w:cs="Arial"/>
        </w:rPr>
        <w:t xml:space="preserve">re correct. </w:t>
      </w:r>
      <w:r>
        <w:rPr>
          <w:rFonts w:cs="Arial"/>
        </w:rPr>
        <w:t xml:space="preserve">More broadly, </w:t>
      </w:r>
      <w:r w:rsidRPr="001530F2">
        <w:rPr>
          <w:rFonts w:cs="Arial"/>
        </w:rPr>
        <w:t xml:space="preserve">monitoring </w:t>
      </w:r>
      <w:r>
        <w:rPr>
          <w:rFonts w:cs="Arial"/>
        </w:rPr>
        <w:t xml:space="preserve">was also seen as being </w:t>
      </w:r>
      <w:r w:rsidRPr="001530F2">
        <w:rPr>
          <w:rFonts w:cs="Arial"/>
        </w:rPr>
        <w:t xml:space="preserve">about </w:t>
      </w:r>
      <w:r w:rsidR="004914E2">
        <w:rPr>
          <w:rFonts w:cs="Arial"/>
        </w:rPr>
        <w:t xml:space="preserve">providing </w:t>
      </w:r>
      <w:r w:rsidRPr="001530F2">
        <w:rPr>
          <w:rFonts w:cs="Arial"/>
        </w:rPr>
        <w:t>infor</w:t>
      </w:r>
      <w:r>
        <w:rPr>
          <w:rFonts w:cs="Arial"/>
        </w:rPr>
        <w:t>mation on the repository system</w:t>
      </w:r>
      <w:r w:rsidRPr="001530F2">
        <w:rPr>
          <w:rFonts w:cs="Arial"/>
        </w:rPr>
        <w:t xml:space="preserve"> for purposes of decision-making. </w:t>
      </w:r>
      <w:r w:rsidR="0065418E">
        <w:rPr>
          <w:rFonts w:cs="Arial"/>
        </w:rPr>
        <w:t>T</w:t>
      </w:r>
      <w:r w:rsidR="000B3782" w:rsidRPr="001530F2">
        <w:rPr>
          <w:rFonts w:cs="Arial"/>
        </w:rPr>
        <w:t xml:space="preserve">he issue of (re)assurance and confidence building was explicitly and repeatedly mentioned by all respondents as one of the main drivers for monitoring. Three dimensions to this role of monitoring were emphasized: </w:t>
      </w:r>
    </w:p>
    <w:p w:rsidR="000B3782" w:rsidRPr="001530F2" w:rsidRDefault="000B3782" w:rsidP="000B3782">
      <w:pPr>
        <w:rPr>
          <w:rFonts w:cs="Arial"/>
        </w:rPr>
      </w:pPr>
    </w:p>
    <w:p w:rsidR="000B3782" w:rsidRPr="00BC6135" w:rsidRDefault="00BC6135" w:rsidP="000B3782">
      <w:pPr>
        <w:rPr>
          <w:rStyle w:val="Diskretbetoning"/>
          <w:rFonts w:eastAsia="SimSun" w:cs="Arial"/>
          <w:bCs/>
          <w:i w:val="0"/>
          <w:iCs w:val="0"/>
          <w:color w:val="auto"/>
        </w:rPr>
      </w:pPr>
      <w:r>
        <w:rPr>
          <w:rStyle w:val="Diskretbetoning"/>
          <w:rFonts w:cs="Arial"/>
          <w:i w:val="0"/>
          <w:color w:val="auto"/>
        </w:rPr>
        <w:t>1. Monitoring as a m</w:t>
      </w:r>
      <w:r w:rsidR="000B3782" w:rsidRPr="00BC6135">
        <w:rPr>
          <w:rStyle w:val="Diskretbetoning"/>
          <w:rFonts w:cs="Arial"/>
          <w:i w:val="0"/>
          <w:color w:val="auto"/>
        </w:rPr>
        <w:t xml:space="preserve">eans of </w:t>
      </w:r>
      <w:r>
        <w:rPr>
          <w:rStyle w:val="Diskretbetoning"/>
          <w:rFonts w:cs="Arial"/>
          <w:i w:val="0"/>
          <w:color w:val="auto"/>
        </w:rPr>
        <w:t>a</w:t>
      </w:r>
      <w:r w:rsidR="000B3782" w:rsidRPr="00BC6135">
        <w:rPr>
          <w:rStyle w:val="Diskretbetoning"/>
          <w:rFonts w:cs="Arial"/>
          <w:i w:val="0"/>
          <w:color w:val="auto"/>
        </w:rPr>
        <w:t xml:space="preserve">ssurance for </w:t>
      </w:r>
      <w:r w:rsidRPr="00BC6135">
        <w:rPr>
          <w:rStyle w:val="Diskretbetoning"/>
          <w:rFonts w:cs="Arial"/>
          <w:i w:val="0"/>
          <w:color w:val="auto"/>
        </w:rPr>
        <w:t>the designer, modeller, implementer</w:t>
      </w:r>
    </w:p>
    <w:p w:rsidR="000B3782" w:rsidRPr="004914E2" w:rsidRDefault="004914E2" w:rsidP="004914E2">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t>Monitoring wa</w:t>
      </w:r>
      <w:r w:rsidR="000B3782" w:rsidRPr="004914E2">
        <w:rPr>
          <w:rFonts w:ascii="Arial" w:hAnsi="Arial" w:cs="Arial"/>
          <w:sz w:val="22"/>
          <w:szCs w:val="22"/>
        </w:rPr>
        <w:t xml:space="preserve">s understood as a tool for verifying both the repository system and the modelling behind it. </w:t>
      </w:r>
    </w:p>
    <w:p w:rsidR="000B3782" w:rsidRPr="001530F2" w:rsidRDefault="000B3782" w:rsidP="00BC6135">
      <w:pPr>
        <w:pStyle w:val="Liststycke"/>
        <w:numPr>
          <w:ilvl w:val="0"/>
          <w:numId w:val="1"/>
        </w:numPr>
        <w:spacing w:line="240" w:lineRule="auto"/>
        <w:ind w:left="782" w:hanging="357"/>
        <w:contextualSpacing w:val="0"/>
        <w:jc w:val="left"/>
        <w:rPr>
          <w:rFonts w:ascii="Arial" w:hAnsi="Arial" w:cs="Arial"/>
          <w:sz w:val="22"/>
          <w:szCs w:val="22"/>
        </w:rPr>
      </w:pPr>
      <w:r w:rsidRPr="001530F2">
        <w:rPr>
          <w:rFonts w:ascii="Arial" w:hAnsi="Arial" w:cs="Arial"/>
          <w:sz w:val="22"/>
          <w:szCs w:val="22"/>
        </w:rPr>
        <w:t xml:space="preserve">Monitoring </w:t>
      </w:r>
      <w:r w:rsidR="004914E2">
        <w:rPr>
          <w:rFonts w:ascii="Arial" w:hAnsi="Arial" w:cs="Arial"/>
          <w:sz w:val="22"/>
          <w:szCs w:val="22"/>
        </w:rPr>
        <w:t>wa</w:t>
      </w:r>
      <w:r w:rsidRPr="001530F2">
        <w:rPr>
          <w:rFonts w:ascii="Arial" w:hAnsi="Arial" w:cs="Arial"/>
          <w:sz w:val="22"/>
          <w:szCs w:val="22"/>
        </w:rPr>
        <w:t>s seen as especially advantageous during the phase of construction and operation when changes in the design remain possible.</w:t>
      </w:r>
    </w:p>
    <w:p w:rsidR="000B3782" w:rsidRPr="004914E2" w:rsidRDefault="004914E2" w:rsidP="004914E2">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t>Post-closure monitoring tended</w:t>
      </w:r>
      <w:r w:rsidR="000B3782" w:rsidRPr="001530F2">
        <w:rPr>
          <w:rFonts w:ascii="Arial" w:hAnsi="Arial" w:cs="Arial"/>
          <w:sz w:val="22"/>
          <w:szCs w:val="22"/>
        </w:rPr>
        <w:t xml:space="preserve"> to be seen as </w:t>
      </w:r>
      <w:r>
        <w:rPr>
          <w:rFonts w:ascii="Arial" w:hAnsi="Arial" w:cs="Arial"/>
          <w:sz w:val="22"/>
          <w:szCs w:val="22"/>
        </w:rPr>
        <w:t>unnecessary and even unrealistic -</w:t>
      </w:r>
      <w:r w:rsidR="000B3782" w:rsidRPr="001530F2">
        <w:rPr>
          <w:rFonts w:ascii="Arial" w:hAnsi="Arial" w:cs="Arial"/>
          <w:sz w:val="22"/>
          <w:szCs w:val="22"/>
        </w:rPr>
        <w:t xml:space="preserve"> and even potentially counterproductive</w:t>
      </w:r>
      <w:r>
        <w:rPr>
          <w:rFonts w:ascii="Arial" w:hAnsi="Arial" w:cs="Arial"/>
          <w:sz w:val="22"/>
          <w:szCs w:val="22"/>
        </w:rPr>
        <w:t xml:space="preserve"> if it were to compromise barrier fu</w:t>
      </w:r>
      <w:r w:rsidRPr="004914E2">
        <w:rPr>
          <w:rFonts w:ascii="Arial" w:hAnsi="Arial" w:cs="Arial"/>
          <w:sz w:val="22"/>
          <w:szCs w:val="22"/>
        </w:rPr>
        <w:t>nctions -</w:t>
      </w:r>
      <w:r w:rsidR="000B3782" w:rsidRPr="004914E2">
        <w:rPr>
          <w:rFonts w:ascii="Arial" w:hAnsi="Arial" w:cs="Arial"/>
          <w:sz w:val="22"/>
          <w:szCs w:val="22"/>
        </w:rPr>
        <w:t xml:space="preserve"> but </w:t>
      </w:r>
      <w:r w:rsidR="00851C8A" w:rsidRPr="004914E2">
        <w:rPr>
          <w:rFonts w:ascii="Arial" w:hAnsi="Arial" w:cs="Arial"/>
          <w:sz w:val="22"/>
          <w:szCs w:val="22"/>
        </w:rPr>
        <w:t xml:space="preserve">it was also noted that it </w:t>
      </w:r>
      <w:r w:rsidR="000B3782" w:rsidRPr="004914E2">
        <w:rPr>
          <w:rFonts w:ascii="Arial" w:hAnsi="Arial" w:cs="Arial"/>
          <w:sz w:val="22"/>
          <w:szCs w:val="22"/>
        </w:rPr>
        <w:t>may be of value to reassure non-expert stakeholders.</w:t>
      </w:r>
    </w:p>
    <w:p w:rsidR="000B3782" w:rsidRPr="001530F2" w:rsidRDefault="000B3782" w:rsidP="000B3782">
      <w:pPr>
        <w:pStyle w:val="Liststycke"/>
        <w:jc w:val="left"/>
        <w:rPr>
          <w:rFonts w:ascii="Arial" w:hAnsi="Arial" w:cs="Arial"/>
          <w:sz w:val="22"/>
          <w:szCs w:val="22"/>
        </w:rPr>
      </w:pPr>
    </w:p>
    <w:p w:rsidR="000B3782" w:rsidRPr="00BC6135" w:rsidRDefault="00BC6135" w:rsidP="000B3782">
      <w:pPr>
        <w:rPr>
          <w:rStyle w:val="Diskretbetoning"/>
          <w:rFonts w:eastAsia="SimSun" w:cs="Arial"/>
          <w:bCs/>
          <w:i w:val="0"/>
          <w:iCs w:val="0"/>
          <w:color w:val="auto"/>
        </w:rPr>
      </w:pPr>
      <w:r>
        <w:rPr>
          <w:rStyle w:val="Diskretbetoning"/>
          <w:rFonts w:cs="Arial"/>
          <w:i w:val="0"/>
          <w:color w:val="auto"/>
        </w:rPr>
        <w:t xml:space="preserve">2. </w:t>
      </w:r>
      <w:r w:rsidR="000B3782" w:rsidRPr="00BC6135">
        <w:rPr>
          <w:rStyle w:val="Diskretbetoning"/>
          <w:rFonts w:cs="Arial"/>
          <w:i w:val="0"/>
          <w:color w:val="auto"/>
        </w:rPr>
        <w:t xml:space="preserve">Monitoring </w:t>
      </w:r>
      <w:r w:rsidRPr="00BC6135">
        <w:rPr>
          <w:rStyle w:val="Diskretbetoning"/>
          <w:rFonts w:cs="Arial"/>
          <w:i w:val="0"/>
          <w:color w:val="auto"/>
        </w:rPr>
        <w:t>to assure the regulator</w:t>
      </w:r>
    </w:p>
    <w:p w:rsidR="000B3782" w:rsidRDefault="000B3782" w:rsidP="00005D90">
      <w:pPr>
        <w:pStyle w:val="Liststycke"/>
        <w:numPr>
          <w:ilvl w:val="0"/>
          <w:numId w:val="1"/>
        </w:numPr>
        <w:spacing w:line="240" w:lineRule="auto"/>
        <w:ind w:left="782" w:hanging="357"/>
        <w:contextualSpacing w:val="0"/>
        <w:jc w:val="left"/>
        <w:rPr>
          <w:rFonts w:ascii="Arial" w:hAnsi="Arial" w:cs="Arial"/>
          <w:sz w:val="22"/>
          <w:szCs w:val="22"/>
        </w:rPr>
      </w:pPr>
      <w:r w:rsidRPr="001530F2">
        <w:rPr>
          <w:rFonts w:ascii="Arial" w:hAnsi="Arial" w:cs="Arial"/>
          <w:sz w:val="22"/>
          <w:szCs w:val="22"/>
        </w:rPr>
        <w:t xml:space="preserve">Monitoring for compliance and to assure the regulator was particularly </w:t>
      </w:r>
      <w:r w:rsidR="00005D90">
        <w:rPr>
          <w:rFonts w:ascii="Arial" w:hAnsi="Arial" w:cs="Arial"/>
          <w:sz w:val="22"/>
          <w:szCs w:val="22"/>
        </w:rPr>
        <w:t xml:space="preserve">mentioned </w:t>
      </w:r>
      <w:r w:rsidRPr="001530F2">
        <w:rPr>
          <w:rFonts w:ascii="Arial" w:hAnsi="Arial" w:cs="Arial"/>
          <w:sz w:val="22"/>
          <w:szCs w:val="22"/>
        </w:rPr>
        <w:t xml:space="preserve">in </w:t>
      </w:r>
      <w:r w:rsidR="00F80047">
        <w:rPr>
          <w:rFonts w:ascii="Arial" w:hAnsi="Arial" w:cs="Arial"/>
          <w:sz w:val="22"/>
          <w:szCs w:val="22"/>
        </w:rPr>
        <w:t xml:space="preserve">the context of meeting regulatory requirements relating to </w:t>
      </w:r>
      <w:r w:rsidRPr="001530F2">
        <w:rPr>
          <w:rFonts w:ascii="Arial" w:hAnsi="Arial" w:cs="Arial"/>
          <w:sz w:val="22"/>
          <w:szCs w:val="22"/>
        </w:rPr>
        <w:t>operational safety and environmental impact assessment.</w:t>
      </w:r>
    </w:p>
    <w:p w:rsidR="00005D90" w:rsidRPr="001530F2" w:rsidRDefault="00005D90" w:rsidP="00005D90">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t>M</w:t>
      </w:r>
      <w:r w:rsidRPr="001530F2">
        <w:rPr>
          <w:rFonts w:ascii="Arial" w:hAnsi="Arial" w:cs="Arial"/>
          <w:sz w:val="22"/>
          <w:szCs w:val="22"/>
        </w:rPr>
        <w:t xml:space="preserve">onitoring to assure the regulator </w:t>
      </w:r>
      <w:r>
        <w:rPr>
          <w:rFonts w:ascii="Arial" w:hAnsi="Arial" w:cs="Arial"/>
          <w:sz w:val="22"/>
          <w:szCs w:val="22"/>
        </w:rPr>
        <w:t>of repository performance wa</w:t>
      </w:r>
      <w:r w:rsidRPr="001530F2">
        <w:rPr>
          <w:rFonts w:ascii="Arial" w:hAnsi="Arial" w:cs="Arial"/>
          <w:sz w:val="22"/>
          <w:szCs w:val="22"/>
        </w:rPr>
        <w:t xml:space="preserve">s </w:t>
      </w:r>
      <w:r>
        <w:rPr>
          <w:rFonts w:ascii="Arial" w:hAnsi="Arial" w:cs="Arial"/>
          <w:sz w:val="22"/>
          <w:szCs w:val="22"/>
        </w:rPr>
        <w:t xml:space="preserve">also </w:t>
      </w:r>
      <w:r w:rsidRPr="001530F2">
        <w:rPr>
          <w:rFonts w:ascii="Arial" w:hAnsi="Arial" w:cs="Arial"/>
          <w:sz w:val="22"/>
          <w:szCs w:val="22"/>
        </w:rPr>
        <w:t>seen as impor</w:t>
      </w:r>
      <w:r>
        <w:rPr>
          <w:rFonts w:ascii="Arial" w:hAnsi="Arial" w:cs="Arial"/>
          <w:sz w:val="22"/>
          <w:szCs w:val="22"/>
        </w:rPr>
        <w:t>tant</w:t>
      </w:r>
      <w:r w:rsidR="00F80047">
        <w:rPr>
          <w:rFonts w:ascii="Arial" w:hAnsi="Arial" w:cs="Arial"/>
          <w:sz w:val="22"/>
          <w:szCs w:val="22"/>
        </w:rPr>
        <w:t>, not least</w:t>
      </w:r>
      <w:r>
        <w:rPr>
          <w:rFonts w:ascii="Arial" w:hAnsi="Arial" w:cs="Arial"/>
          <w:sz w:val="22"/>
          <w:szCs w:val="22"/>
        </w:rPr>
        <w:t xml:space="preserve"> because of the intermediate</w:t>
      </w:r>
      <w:r w:rsidRPr="001530F2">
        <w:rPr>
          <w:rFonts w:ascii="Arial" w:hAnsi="Arial" w:cs="Arial"/>
          <w:sz w:val="22"/>
          <w:szCs w:val="22"/>
        </w:rPr>
        <w:t xml:space="preserve"> position the regulator holds between the implementer and the public.</w:t>
      </w:r>
    </w:p>
    <w:p w:rsidR="000B3782" w:rsidRPr="001530F2" w:rsidRDefault="0065418E" w:rsidP="00005D90">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t>It was also noted that although</w:t>
      </w:r>
      <w:r w:rsidRPr="001530F2">
        <w:rPr>
          <w:rFonts w:ascii="Arial" w:hAnsi="Arial" w:cs="Arial"/>
          <w:sz w:val="22"/>
          <w:szCs w:val="22"/>
        </w:rPr>
        <w:t xml:space="preserve"> </w:t>
      </w:r>
      <w:r>
        <w:rPr>
          <w:rFonts w:ascii="Arial" w:hAnsi="Arial" w:cs="Arial"/>
          <w:sz w:val="22"/>
          <w:szCs w:val="22"/>
        </w:rPr>
        <w:t xml:space="preserve">there may be little evidence of statutory requirements for </w:t>
      </w:r>
      <w:r w:rsidRPr="001530F2">
        <w:rPr>
          <w:rFonts w:ascii="Arial" w:hAnsi="Arial" w:cs="Arial"/>
          <w:sz w:val="22"/>
          <w:szCs w:val="22"/>
        </w:rPr>
        <w:t>post-closure monitoring</w:t>
      </w:r>
      <w:r w:rsidR="00F80047">
        <w:rPr>
          <w:rFonts w:ascii="Arial" w:hAnsi="Arial" w:cs="Arial"/>
          <w:sz w:val="22"/>
          <w:szCs w:val="22"/>
        </w:rPr>
        <w:t xml:space="preserve"> for reasons of radiological protection</w:t>
      </w:r>
      <w:r>
        <w:rPr>
          <w:rFonts w:ascii="Arial" w:hAnsi="Arial" w:cs="Arial"/>
          <w:sz w:val="22"/>
          <w:szCs w:val="22"/>
        </w:rPr>
        <w:t xml:space="preserve">, </w:t>
      </w:r>
      <w:r w:rsidR="00F80047">
        <w:rPr>
          <w:rFonts w:ascii="Arial" w:hAnsi="Arial" w:cs="Arial"/>
          <w:sz w:val="22"/>
          <w:szCs w:val="22"/>
        </w:rPr>
        <w:t>it seemed likely that they would be introduced</w:t>
      </w:r>
      <w:r w:rsidR="000B3782">
        <w:rPr>
          <w:rFonts w:ascii="Arial" w:hAnsi="Arial" w:cs="Arial"/>
          <w:sz w:val="22"/>
          <w:szCs w:val="22"/>
        </w:rPr>
        <w:t xml:space="preserve"> </w:t>
      </w:r>
      <w:r w:rsidR="000B3782" w:rsidRPr="001530F2">
        <w:rPr>
          <w:rFonts w:ascii="Arial" w:hAnsi="Arial" w:cs="Arial"/>
          <w:sz w:val="22"/>
          <w:szCs w:val="22"/>
        </w:rPr>
        <w:t xml:space="preserve">in </w:t>
      </w:r>
      <w:r w:rsidR="000B3782">
        <w:rPr>
          <w:rFonts w:ascii="Arial" w:hAnsi="Arial" w:cs="Arial"/>
          <w:sz w:val="22"/>
          <w:szCs w:val="22"/>
        </w:rPr>
        <w:t xml:space="preserve">some countries in the </w:t>
      </w:r>
      <w:r w:rsidR="000B3782" w:rsidRPr="001530F2">
        <w:rPr>
          <w:rFonts w:ascii="Arial" w:hAnsi="Arial" w:cs="Arial"/>
          <w:sz w:val="22"/>
          <w:szCs w:val="22"/>
        </w:rPr>
        <w:t>future</w:t>
      </w:r>
      <w:r w:rsidR="00F80047">
        <w:rPr>
          <w:rFonts w:ascii="Arial" w:hAnsi="Arial" w:cs="Arial"/>
          <w:sz w:val="22"/>
          <w:szCs w:val="22"/>
        </w:rPr>
        <w:t xml:space="preserve"> in response to societal demands</w:t>
      </w:r>
      <w:r w:rsidR="000B3782" w:rsidRPr="001530F2">
        <w:rPr>
          <w:rFonts w:ascii="Arial" w:hAnsi="Arial" w:cs="Arial"/>
          <w:sz w:val="22"/>
          <w:szCs w:val="22"/>
        </w:rPr>
        <w:t>.</w:t>
      </w:r>
    </w:p>
    <w:p w:rsidR="000B3782" w:rsidRPr="001530F2" w:rsidRDefault="000B3782" w:rsidP="000B3782">
      <w:pPr>
        <w:ind w:left="425"/>
        <w:rPr>
          <w:rFonts w:cs="Arial"/>
        </w:rPr>
      </w:pPr>
    </w:p>
    <w:p w:rsidR="000B3782" w:rsidRPr="00BC6135" w:rsidRDefault="00BC6135" w:rsidP="000B3782">
      <w:pPr>
        <w:rPr>
          <w:rStyle w:val="Diskretbetoning"/>
          <w:rFonts w:eastAsia="SimSun" w:cs="Arial"/>
          <w:bCs/>
          <w:i w:val="0"/>
          <w:iCs w:val="0"/>
          <w:color w:val="auto"/>
        </w:rPr>
      </w:pPr>
      <w:r>
        <w:rPr>
          <w:rStyle w:val="Diskretbetoning"/>
          <w:rFonts w:cs="Arial"/>
          <w:i w:val="0"/>
          <w:color w:val="auto"/>
        </w:rPr>
        <w:t xml:space="preserve">3. </w:t>
      </w:r>
      <w:r w:rsidR="000B3782" w:rsidRPr="00BC6135">
        <w:rPr>
          <w:rStyle w:val="Diskretbetoning"/>
          <w:rFonts w:cs="Arial"/>
          <w:i w:val="0"/>
          <w:color w:val="auto"/>
        </w:rPr>
        <w:t xml:space="preserve">Monitoring to </w:t>
      </w:r>
      <w:r w:rsidRPr="00BC6135">
        <w:rPr>
          <w:rStyle w:val="Diskretbetoning"/>
          <w:rFonts w:cs="Arial"/>
          <w:i w:val="0"/>
          <w:color w:val="auto"/>
        </w:rPr>
        <w:t>reassure the public: building public confidence in the repository</w:t>
      </w:r>
    </w:p>
    <w:p w:rsidR="00F80047" w:rsidRPr="001530F2" w:rsidRDefault="00F80047" w:rsidP="00F80047">
      <w:pPr>
        <w:pStyle w:val="Liststycke"/>
        <w:numPr>
          <w:ilvl w:val="0"/>
          <w:numId w:val="1"/>
        </w:numPr>
        <w:spacing w:line="240" w:lineRule="auto"/>
        <w:ind w:left="782" w:hanging="357"/>
        <w:contextualSpacing w:val="0"/>
        <w:jc w:val="left"/>
        <w:rPr>
          <w:rFonts w:ascii="Arial" w:hAnsi="Arial" w:cs="Arial"/>
          <w:sz w:val="22"/>
          <w:szCs w:val="22"/>
        </w:rPr>
      </w:pPr>
      <w:r w:rsidRPr="001530F2">
        <w:rPr>
          <w:rFonts w:ascii="Arial" w:hAnsi="Arial" w:cs="Arial"/>
          <w:sz w:val="22"/>
          <w:szCs w:val="22"/>
        </w:rPr>
        <w:t xml:space="preserve">Based on the impressions of lay-stakeholder concerns that our interviewees expressed, it seems that there is a widely held perception that public and stakeholder expectations </w:t>
      </w:r>
      <w:r>
        <w:rPr>
          <w:rFonts w:ascii="Arial" w:hAnsi="Arial" w:cs="Arial"/>
          <w:sz w:val="22"/>
          <w:szCs w:val="22"/>
        </w:rPr>
        <w:t xml:space="preserve">are likely to focus on environmental </w:t>
      </w:r>
      <w:r w:rsidRPr="001530F2">
        <w:rPr>
          <w:rFonts w:ascii="Arial" w:hAnsi="Arial" w:cs="Arial"/>
          <w:sz w:val="22"/>
          <w:szCs w:val="22"/>
        </w:rPr>
        <w:t>monitoring, both in terms of the operational management of the facility and of long-term post-closure safety</w:t>
      </w:r>
      <w:r>
        <w:rPr>
          <w:rFonts w:ascii="Arial" w:hAnsi="Arial" w:cs="Arial"/>
          <w:sz w:val="22"/>
          <w:szCs w:val="22"/>
        </w:rPr>
        <w:t>,</w:t>
      </w:r>
      <w:r w:rsidRPr="001530F2">
        <w:rPr>
          <w:rFonts w:ascii="Arial" w:hAnsi="Arial" w:cs="Arial"/>
          <w:sz w:val="22"/>
          <w:szCs w:val="22"/>
        </w:rPr>
        <w:t xml:space="preserve"> </w:t>
      </w:r>
      <w:r>
        <w:rPr>
          <w:rFonts w:ascii="Arial" w:hAnsi="Arial" w:cs="Arial"/>
          <w:sz w:val="22"/>
          <w:szCs w:val="22"/>
        </w:rPr>
        <w:t xml:space="preserve">in order to protect against </w:t>
      </w:r>
      <w:r w:rsidRPr="001530F2">
        <w:rPr>
          <w:rFonts w:ascii="Arial" w:hAnsi="Arial" w:cs="Arial"/>
          <w:sz w:val="22"/>
          <w:szCs w:val="22"/>
        </w:rPr>
        <w:t xml:space="preserve">environmental </w:t>
      </w:r>
      <w:r>
        <w:rPr>
          <w:rFonts w:ascii="Arial" w:hAnsi="Arial" w:cs="Arial"/>
          <w:sz w:val="22"/>
          <w:szCs w:val="22"/>
        </w:rPr>
        <w:t xml:space="preserve">and therefore human health </w:t>
      </w:r>
      <w:r w:rsidRPr="001530F2">
        <w:rPr>
          <w:rFonts w:ascii="Arial" w:hAnsi="Arial" w:cs="Arial"/>
          <w:sz w:val="22"/>
          <w:szCs w:val="22"/>
        </w:rPr>
        <w:t>impact</w:t>
      </w:r>
      <w:r>
        <w:rPr>
          <w:rFonts w:ascii="Arial" w:hAnsi="Arial" w:cs="Arial"/>
          <w:sz w:val="22"/>
          <w:szCs w:val="22"/>
        </w:rPr>
        <w:t>s</w:t>
      </w:r>
      <w:r w:rsidRPr="001530F2">
        <w:rPr>
          <w:rFonts w:ascii="Arial" w:hAnsi="Arial" w:cs="Arial"/>
          <w:sz w:val="22"/>
          <w:szCs w:val="22"/>
        </w:rPr>
        <w:t xml:space="preserve">. </w:t>
      </w:r>
    </w:p>
    <w:p w:rsidR="000B3782" w:rsidRPr="001530F2" w:rsidRDefault="00F80047" w:rsidP="00005D90">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lastRenderedPageBreak/>
        <w:t xml:space="preserve">Finally, and importantly, </w:t>
      </w:r>
      <w:r w:rsidR="0065418E">
        <w:rPr>
          <w:rFonts w:ascii="Arial" w:hAnsi="Arial" w:cs="Arial"/>
          <w:sz w:val="22"/>
          <w:szCs w:val="22"/>
        </w:rPr>
        <w:t>from the documents examined and the interviews</w:t>
      </w:r>
      <w:r>
        <w:rPr>
          <w:rFonts w:ascii="Arial" w:hAnsi="Arial" w:cs="Arial"/>
          <w:sz w:val="22"/>
          <w:szCs w:val="22"/>
        </w:rPr>
        <w:t xml:space="preserve"> conducted</w:t>
      </w:r>
      <w:r w:rsidR="000B3782" w:rsidRPr="001530F2">
        <w:rPr>
          <w:rFonts w:ascii="Arial" w:hAnsi="Arial" w:cs="Arial"/>
          <w:sz w:val="22"/>
          <w:szCs w:val="22"/>
        </w:rPr>
        <w:t xml:space="preserve"> </w:t>
      </w:r>
      <w:r w:rsidR="0092613D">
        <w:rPr>
          <w:rFonts w:ascii="Arial" w:hAnsi="Arial" w:cs="Arial"/>
          <w:sz w:val="22"/>
          <w:szCs w:val="22"/>
        </w:rPr>
        <w:t xml:space="preserve">there appeared </w:t>
      </w:r>
      <w:r w:rsidR="000B3782" w:rsidRPr="001530F2">
        <w:rPr>
          <w:rFonts w:ascii="Arial" w:hAnsi="Arial" w:cs="Arial"/>
          <w:sz w:val="22"/>
          <w:szCs w:val="22"/>
        </w:rPr>
        <w:t xml:space="preserve">to be a general consensus within the expert community that monitoring has a major role to play in building public confidence in </w:t>
      </w:r>
      <w:r>
        <w:rPr>
          <w:rFonts w:ascii="Arial" w:hAnsi="Arial" w:cs="Arial"/>
          <w:sz w:val="22"/>
          <w:szCs w:val="22"/>
        </w:rPr>
        <w:t>geological disposal, although the social process by which it might produce this effect was not identified</w:t>
      </w:r>
      <w:r w:rsidR="000B3782" w:rsidRPr="001530F2">
        <w:rPr>
          <w:rFonts w:ascii="Arial" w:hAnsi="Arial" w:cs="Arial"/>
          <w:sz w:val="22"/>
          <w:szCs w:val="22"/>
        </w:rPr>
        <w:t xml:space="preserve">. </w:t>
      </w:r>
    </w:p>
    <w:p w:rsidR="000B3782" w:rsidRPr="001530F2" w:rsidRDefault="000B3782" w:rsidP="00005D90">
      <w:pPr>
        <w:pStyle w:val="Liststycke"/>
        <w:jc w:val="left"/>
        <w:rPr>
          <w:rStyle w:val="CitatChar"/>
          <w:rFonts w:cs="Arial"/>
          <w:sz w:val="22"/>
          <w:szCs w:val="22"/>
        </w:rPr>
      </w:pPr>
    </w:p>
    <w:p w:rsidR="000B3782" w:rsidRPr="001530F2" w:rsidRDefault="00AD2C23" w:rsidP="000B3782">
      <w:pPr>
        <w:rPr>
          <w:rFonts w:cs="Arial"/>
        </w:rPr>
      </w:pPr>
      <w:r>
        <w:rPr>
          <w:rFonts w:cs="Arial"/>
        </w:rPr>
        <w:t xml:space="preserve">One possible interpretation of this last point in light of expert views of the purposes of monitoring is that </w:t>
      </w:r>
      <w:r w:rsidRPr="001530F2">
        <w:rPr>
          <w:rFonts w:cs="Arial"/>
        </w:rPr>
        <w:t xml:space="preserve">the </w:t>
      </w:r>
      <w:r>
        <w:rPr>
          <w:rFonts w:cs="Arial"/>
        </w:rPr>
        <w:t xml:space="preserve">production of monitoring data which </w:t>
      </w:r>
      <w:r w:rsidRPr="001530F2">
        <w:rPr>
          <w:rFonts w:cs="Arial"/>
        </w:rPr>
        <w:t>co</w:t>
      </w:r>
      <w:r>
        <w:rPr>
          <w:rFonts w:cs="Arial"/>
        </w:rPr>
        <w:t>rroborate</w:t>
      </w:r>
      <w:r w:rsidRPr="001530F2">
        <w:rPr>
          <w:rFonts w:cs="Arial"/>
        </w:rPr>
        <w:t xml:space="preserve"> models </w:t>
      </w:r>
      <w:r>
        <w:rPr>
          <w:rFonts w:cs="Arial"/>
        </w:rPr>
        <w:t>will provide evidence to support claims to long-term safety.</w:t>
      </w:r>
      <w:r w:rsidR="0048053D">
        <w:rPr>
          <w:rStyle w:val="FootnoteReference"/>
          <w:rFonts w:cs="Arial"/>
        </w:rPr>
        <w:footnoteReference w:id="2"/>
      </w:r>
      <w:r>
        <w:rPr>
          <w:rFonts w:cs="Arial"/>
        </w:rPr>
        <w:t xml:space="preserve"> </w:t>
      </w:r>
    </w:p>
    <w:p w:rsidR="000B3782" w:rsidRPr="001530F2" w:rsidRDefault="000B3782" w:rsidP="000B3782">
      <w:pPr>
        <w:rPr>
          <w:rFonts w:cs="Arial"/>
        </w:rPr>
      </w:pPr>
    </w:p>
    <w:p w:rsidR="000B3782" w:rsidRPr="001530F2" w:rsidRDefault="00255A21" w:rsidP="000B3782">
      <w:pPr>
        <w:rPr>
          <w:rFonts w:cs="Arial"/>
        </w:rPr>
      </w:pPr>
      <w:r>
        <w:rPr>
          <w:rFonts w:cs="Arial"/>
        </w:rPr>
        <w:t>When asked about stakeholder expectations of monitoring m</w:t>
      </w:r>
      <w:r w:rsidR="000B3782" w:rsidRPr="001530F2">
        <w:rPr>
          <w:rFonts w:cs="Arial"/>
        </w:rPr>
        <w:t xml:space="preserve">ost experts </w:t>
      </w:r>
      <w:r>
        <w:rPr>
          <w:rFonts w:cs="Arial"/>
        </w:rPr>
        <w:t xml:space="preserve">said </w:t>
      </w:r>
      <w:r w:rsidR="000B3782" w:rsidRPr="001530F2">
        <w:rPr>
          <w:rFonts w:cs="Arial"/>
        </w:rPr>
        <w:t xml:space="preserve">that they had not yet explicitly discussed monitoring strategies with local stakeholders. Many experts therefore found it difficult to anticipate what lay stakeholder expectations might be and whether </w:t>
      </w:r>
      <w:r>
        <w:rPr>
          <w:rFonts w:cs="Arial"/>
        </w:rPr>
        <w:t xml:space="preserve">it would be </w:t>
      </w:r>
      <w:r w:rsidR="000B3782" w:rsidRPr="001530F2">
        <w:rPr>
          <w:rFonts w:cs="Arial"/>
        </w:rPr>
        <w:t>feasible to address</w:t>
      </w:r>
      <w:r>
        <w:rPr>
          <w:rFonts w:cs="Arial"/>
        </w:rPr>
        <w:t xml:space="preserve"> them</w:t>
      </w:r>
      <w:r w:rsidR="000B3782" w:rsidRPr="001530F2">
        <w:rPr>
          <w:rFonts w:cs="Arial"/>
        </w:rPr>
        <w:t xml:space="preserve">. </w:t>
      </w:r>
      <w:r w:rsidR="000B3782">
        <w:rPr>
          <w:rFonts w:cs="Arial"/>
        </w:rPr>
        <w:t xml:space="preserve">One </w:t>
      </w:r>
      <w:r w:rsidR="00FE1270">
        <w:rPr>
          <w:rFonts w:cs="Arial"/>
        </w:rPr>
        <w:t>recurrent</w:t>
      </w:r>
      <w:r>
        <w:rPr>
          <w:rFonts w:cs="Arial"/>
        </w:rPr>
        <w:t>ly</w:t>
      </w:r>
      <w:r w:rsidR="00FE1270">
        <w:rPr>
          <w:rFonts w:cs="Arial"/>
        </w:rPr>
        <w:t xml:space="preserve"> </w:t>
      </w:r>
      <w:r w:rsidR="000B3782">
        <w:rPr>
          <w:rFonts w:cs="Arial"/>
        </w:rPr>
        <w:t xml:space="preserve">expressed </w:t>
      </w:r>
      <w:r>
        <w:rPr>
          <w:rFonts w:cs="Arial"/>
        </w:rPr>
        <w:t>view wa</w:t>
      </w:r>
      <w:r w:rsidR="000B3782" w:rsidRPr="001530F2">
        <w:rPr>
          <w:rFonts w:cs="Arial"/>
        </w:rPr>
        <w:t xml:space="preserve">s that local and public stakeholders </w:t>
      </w:r>
      <w:r>
        <w:rPr>
          <w:rFonts w:cs="Arial"/>
        </w:rPr>
        <w:t xml:space="preserve">would </w:t>
      </w:r>
      <w:r w:rsidR="000B3782" w:rsidRPr="001530F2">
        <w:rPr>
          <w:rFonts w:cs="Arial"/>
        </w:rPr>
        <w:t>be more interested in environmental monitoring than in near field monitoring</w:t>
      </w:r>
      <w:r w:rsidR="000B3782">
        <w:rPr>
          <w:rFonts w:cs="Arial"/>
        </w:rPr>
        <w:t>,</w:t>
      </w:r>
      <w:r w:rsidR="000B3782" w:rsidRPr="001530F2">
        <w:rPr>
          <w:rFonts w:cs="Arial"/>
        </w:rPr>
        <w:t xml:space="preserve"> </w:t>
      </w:r>
      <w:r>
        <w:rPr>
          <w:rFonts w:cs="Arial"/>
        </w:rPr>
        <w:t xml:space="preserve">of the repository itself. Similarly several interviewees felt that </w:t>
      </w:r>
      <w:r w:rsidR="000B3782" w:rsidRPr="001530F2">
        <w:rPr>
          <w:rFonts w:cs="Arial"/>
        </w:rPr>
        <w:t xml:space="preserve">post-closure monitoring </w:t>
      </w:r>
      <w:r>
        <w:rPr>
          <w:rFonts w:cs="Arial"/>
        </w:rPr>
        <w:t xml:space="preserve">was likely to be more a focus of public interest and concern </w:t>
      </w:r>
      <w:r w:rsidR="000B3782" w:rsidRPr="001530F2">
        <w:rPr>
          <w:rFonts w:cs="Arial"/>
        </w:rPr>
        <w:t>than operational monitoring.</w:t>
      </w:r>
      <w:r w:rsidR="00BC7EC3">
        <w:rPr>
          <w:rFonts w:cs="Arial"/>
        </w:rPr>
        <w:t xml:space="preserve"> These e</w:t>
      </w:r>
      <w:r w:rsidR="000B3782" w:rsidRPr="001530F2">
        <w:rPr>
          <w:rFonts w:cs="Arial"/>
        </w:rPr>
        <w:t xml:space="preserve">xperts </w:t>
      </w:r>
      <w:r w:rsidR="00BC7EC3">
        <w:rPr>
          <w:rFonts w:cs="Arial"/>
        </w:rPr>
        <w:t xml:space="preserve">saw post-closure </w:t>
      </w:r>
      <w:r w:rsidR="000B3782" w:rsidRPr="001530F2">
        <w:rPr>
          <w:rFonts w:cs="Arial"/>
        </w:rPr>
        <w:t xml:space="preserve">monitoring with the aim </w:t>
      </w:r>
      <w:r w:rsidR="00BC7EC3">
        <w:rPr>
          <w:rFonts w:cs="Arial"/>
        </w:rPr>
        <w:t>of providing</w:t>
      </w:r>
      <w:r w:rsidR="000B3782" w:rsidRPr="001530F2">
        <w:rPr>
          <w:rFonts w:cs="Arial"/>
        </w:rPr>
        <w:t xml:space="preserve"> assurance of </w:t>
      </w:r>
      <w:r w:rsidR="00BC7EC3">
        <w:rPr>
          <w:rFonts w:cs="Arial"/>
        </w:rPr>
        <w:t>long-term safety as a major challenge,</w:t>
      </w:r>
      <w:r w:rsidR="000B3782" w:rsidRPr="001530F2">
        <w:rPr>
          <w:rFonts w:cs="Arial"/>
          <w:b/>
        </w:rPr>
        <w:t xml:space="preserve"> </w:t>
      </w:r>
      <w:r w:rsidR="00BC7EC3">
        <w:rPr>
          <w:rFonts w:cs="Arial"/>
        </w:rPr>
        <w:t>p</w:t>
      </w:r>
      <w:r w:rsidR="000B3782" w:rsidRPr="001530F2">
        <w:rPr>
          <w:rFonts w:cs="Arial"/>
        </w:rPr>
        <w:t xml:space="preserve">articularly if this were to involve near field monitoring. Developing </w:t>
      </w:r>
      <w:r w:rsidR="00A014FF">
        <w:rPr>
          <w:rFonts w:cs="Arial"/>
        </w:rPr>
        <w:t xml:space="preserve">a post-closure </w:t>
      </w:r>
      <w:r w:rsidR="000B3782" w:rsidRPr="001530F2">
        <w:rPr>
          <w:rFonts w:cs="Arial"/>
        </w:rPr>
        <w:t>re</w:t>
      </w:r>
      <w:r w:rsidR="00A014FF">
        <w:rPr>
          <w:rFonts w:cs="Arial"/>
        </w:rPr>
        <w:t>pository monitoring strategy, if that were to be necessary,</w:t>
      </w:r>
      <w:r w:rsidR="000B3782">
        <w:rPr>
          <w:rFonts w:cs="Arial"/>
        </w:rPr>
        <w:t xml:space="preserve"> wa</w:t>
      </w:r>
      <w:r w:rsidR="000B3782" w:rsidRPr="001530F2">
        <w:rPr>
          <w:rFonts w:cs="Arial"/>
        </w:rPr>
        <w:t xml:space="preserve">s considered by many of our respondents as still more of a question of R&amp;D, than </w:t>
      </w:r>
      <w:r w:rsidR="00A014FF">
        <w:rPr>
          <w:rFonts w:cs="Arial"/>
        </w:rPr>
        <w:t xml:space="preserve">simply one </w:t>
      </w:r>
      <w:r w:rsidR="000B3782" w:rsidRPr="001530F2">
        <w:rPr>
          <w:rFonts w:cs="Arial"/>
        </w:rPr>
        <w:t>of engineering and implementation.</w:t>
      </w:r>
    </w:p>
    <w:p w:rsidR="000B3782" w:rsidRPr="001530F2" w:rsidRDefault="000B3782" w:rsidP="000B3782">
      <w:pPr>
        <w:rPr>
          <w:rFonts w:cs="Arial"/>
          <w:b/>
        </w:rPr>
      </w:pPr>
    </w:p>
    <w:p w:rsidR="000B3782" w:rsidRPr="001530F2" w:rsidRDefault="000B3782" w:rsidP="000B3782">
      <w:pPr>
        <w:rPr>
          <w:rFonts w:cs="Arial"/>
        </w:rPr>
      </w:pPr>
      <w:r w:rsidRPr="001530F2">
        <w:rPr>
          <w:rFonts w:cs="Arial"/>
        </w:rPr>
        <w:t>T</w:t>
      </w:r>
      <w:r w:rsidR="00A014FF">
        <w:rPr>
          <w:rFonts w:cs="Arial"/>
        </w:rPr>
        <w:t xml:space="preserve">his </w:t>
      </w:r>
      <w:r w:rsidR="00F83CAA">
        <w:rPr>
          <w:rFonts w:cs="Arial"/>
        </w:rPr>
        <w:t xml:space="preserve">touches on </w:t>
      </w:r>
      <w:r w:rsidR="00A014FF">
        <w:rPr>
          <w:rFonts w:cs="Arial"/>
        </w:rPr>
        <w:t>t</w:t>
      </w:r>
      <w:r w:rsidRPr="001530F2">
        <w:rPr>
          <w:rFonts w:cs="Arial"/>
        </w:rPr>
        <w:t xml:space="preserve">wo </w:t>
      </w:r>
      <w:r w:rsidR="00A014FF">
        <w:rPr>
          <w:rFonts w:cs="Arial"/>
        </w:rPr>
        <w:t xml:space="preserve">important </w:t>
      </w:r>
      <w:r w:rsidR="00C76047">
        <w:rPr>
          <w:rFonts w:cs="Arial"/>
        </w:rPr>
        <w:t>questions</w:t>
      </w:r>
      <w:r w:rsidR="00A014FF">
        <w:rPr>
          <w:rFonts w:cs="Arial"/>
        </w:rPr>
        <w:t>. The first i</w:t>
      </w:r>
      <w:r w:rsidRPr="001530F2">
        <w:rPr>
          <w:rFonts w:cs="Arial"/>
        </w:rPr>
        <w:t xml:space="preserve">s </w:t>
      </w:r>
      <w:r w:rsidR="00C76047">
        <w:rPr>
          <w:rFonts w:cs="Arial"/>
        </w:rPr>
        <w:t xml:space="preserve">how </w:t>
      </w:r>
      <w:r w:rsidR="00A014FF">
        <w:rPr>
          <w:rFonts w:cs="Arial"/>
        </w:rPr>
        <w:t>any</w:t>
      </w:r>
      <w:r w:rsidRPr="001530F2">
        <w:rPr>
          <w:rFonts w:cs="Arial"/>
        </w:rPr>
        <w:t xml:space="preserve"> </w:t>
      </w:r>
      <w:r w:rsidR="00A014FF">
        <w:rPr>
          <w:rFonts w:cs="Arial"/>
        </w:rPr>
        <w:t xml:space="preserve">requirement </w:t>
      </w:r>
      <w:r w:rsidRPr="001530F2">
        <w:rPr>
          <w:rFonts w:cs="Arial"/>
        </w:rPr>
        <w:t xml:space="preserve">to monitor </w:t>
      </w:r>
      <w:r w:rsidRPr="00A014FF">
        <w:rPr>
          <w:rFonts w:cs="Arial"/>
          <w:i/>
        </w:rPr>
        <w:t>within</w:t>
      </w:r>
      <w:r w:rsidRPr="001530F2">
        <w:rPr>
          <w:rFonts w:cs="Arial"/>
        </w:rPr>
        <w:t xml:space="preserve"> the repository </w:t>
      </w:r>
      <w:r w:rsidRPr="00A014FF">
        <w:rPr>
          <w:rFonts w:cs="Arial"/>
          <w:i/>
        </w:rPr>
        <w:t>after</w:t>
      </w:r>
      <w:r w:rsidRPr="001530F2">
        <w:rPr>
          <w:rFonts w:cs="Arial"/>
        </w:rPr>
        <w:t xml:space="preserve"> closure </w:t>
      </w:r>
      <w:r w:rsidR="00A014FF">
        <w:rPr>
          <w:rFonts w:cs="Arial"/>
        </w:rPr>
        <w:t xml:space="preserve">would need to be reconciled </w:t>
      </w:r>
      <w:r w:rsidRPr="001530F2">
        <w:rPr>
          <w:rFonts w:cs="Arial"/>
        </w:rPr>
        <w:t xml:space="preserve">with the principle of </w:t>
      </w:r>
      <w:r w:rsidR="00A014FF">
        <w:rPr>
          <w:rFonts w:cs="Arial"/>
        </w:rPr>
        <w:t>ensuring passive safety. The second i</w:t>
      </w:r>
      <w:r w:rsidRPr="001530F2">
        <w:rPr>
          <w:rFonts w:cs="Arial"/>
        </w:rPr>
        <w:t xml:space="preserve">s whether or not there </w:t>
      </w:r>
      <w:r w:rsidR="0048053D">
        <w:rPr>
          <w:rFonts w:cs="Arial"/>
        </w:rPr>
        <w:t xml:space="preserve">are processes </w:t>
      </w:r>
      <w:r w:rsidR="00A014FF">
        <w:rPr>
          <w:rFonts w:cs="Arial"/>
        </w:rPr>
        <w:t xml:space="preserve">that can be measured </w:t>
      </w:r>
      <w:r w:rsidRPr="001530F2">
        <w:rPr>
          <w:rFonts w:cs="Arial"/>
        </w:rPr>
        <w:t xml:space="preserve">in the relatively short period </w:t>
      </w:r>
      <w:r w:rsidRPr="00A014FF">
        <w:rPr>
          <w:rFonts w:cs="Arial"/>
          <w:i/>
        </w:rPr>
        <w:t>before</w:t>
      </w:r>
      <w:r w:rsidRPr="001530F2">
        <w:rPr>
          <w:rFonts w:cs="Arial"/>
        </w:rPr>
        <w:t xml:space="preserve"> closure </w:t>
      </w:r>
      <w:r w:rsidR="0048053D">
        <w:rPr>
          <w:rFonts w:cs="Arial"/>
        </w:rPr>
        <w:t xml:space="preserve">which </w:t>
      </w:r>
      <w:r w:rsidRPr="001530F2">
        <w:rPr>
          <w:rFonts w:cs="Arial"/>
        </w:rPr>
        <w:t>would conclusive</w:t>
      </w:r>
      <w:r w:rsidR="00A014FF">
        <w:rPr>
          <w:rFonts w:cs="Arial"/>
        </w:rPr>
        <w:t>ly</w:t>
      </w:r>
      <w:r w:rsidRPr="001530F2">
        <w:rPr>
          <w:rFonts w:cs="Arial"/>
        </w:rPr>
        <w:t xml:space="preserve"> </w:t>
      </w:r>
      <w:r w:rsidR="00A014FF">
        <w:rPr>
          <w:rFonts w:cs="Arial"/>
        </w:rPr>
        <w:t>validate the accuracy</w:t>
      </w:r>
      <w:r w:rsidRPr="001530F2">
        <w:rPr>
          <w:rFonts w:cs="Arial"/>
        </w:rPr>
        <w:t xml:space="preserve"> </w:t>
      </w:r>
      <w:r w:rsidR="00A014FF">
        <w:rPr>
          <w:rFonts w:cs="Arial"/>
        </w:rPr>
        <w:t xml:space="preserve">of </w:t>
      </w:r>
      <w:r w:rsidRPr="001530F2">
        <w:rPr>
          <w:rFonts w:cs="Arial"/>
        </w:rPr>
        <w:t>predict</w:t>
      </w:r>
      <w:r w:rsidR="00A014FF">
        <w:rPr>
          <w:rFonts w:cs="Arial"/>
        </w:rPr>
        <w:t>ions</w:t>
      </w:r>
      <w:r w:rsidRPr="001530F2">
        <w:rPr>
          <w:rFonts w:cs="Arial"/>
        </w:rPr>
        <w:t xml:space="preserve"> </w:t>
      </w:r>
      <w:r w:rsidR="00A014FF">
        <w:rPr>
          <w:rFonts w:cs="Arial"/>
        </w:rPr>
        <w:t xml:space="preserve">of </w:t>
      </w:r>
      <w:r w:rsidRPr="001530F2">
        <w:rPr>
          <w:rFonts w:cs="Arial"/>
        </w:rPr>
        <w:t>system behaviour</w:t>
      </w:r>
      <w:r w:rsidR="00A014FF">
        <w:rPr>
          <w:rFonts w:cs="Arial"/>
        </w:rPr>
        <w:t xml:space="preserve"> </w:t>
      </w:r>
      <w:r w:rsidR="00671233">
        <w:rPr>
          <w:rFonts w:cs="Arial"/>
        </w:rPr>
        <w:t xml:space="preserve">for a very long time </w:t>
      </w:r>
      <w:r w:rsidR="00A014FF">
        <w:rPr>
          <w:rFonts w:cs="Arial"/>
        </w:rPr>
        <w:t xml:space="preserve">after closure. </w:t>
      </w:r>
      <w:r w:rsidRPr="001530F2">
        <w:rPr>
          <w:rFonts w:cs="Arial"/>
        </w:rPr>
        <w:t xml:space="preserve">But apart from finding solutions for monitoring without </w:t>
      </w:r>
      <w:r w:rsidR="0048053D">
        <w:rPr>
          <w:rFonts w:cs="Arial"/>
        </w:rPr>
        <w:t xml:space="preserve">compromising </w:t>
      </w:r>
      <w:r w:rsidRPr="001530F2">
        <w:rPr>
          <w:rFonts w:cs="Arial"/>
        </w:rPr>
        <w:t>t</w:t>
      </w:r>
      <w:r w:rsidR="00F83CAA">
        <w:rPr>
          <w:rFonts w:cs="Arial"/>
        </w:rPr>
        <w:t>he safety barriers (i.e. answering</w:t>
      </w:r>
      <w:r w:rsidRPr="001530F2">
        <w:rPr>
          <w:rFonts w:cs="Arial"/>
        </w:rPr>
        <w:t xml:space="preserve"> the question </w:t>
      </w:r>
      <w:r w:rsidR="00F83CAA">
        <w:rPr>
          <w:rFonts w:cs="Arial"/>
        </w:rPr>
        <w:t xml:space="preserve">of </w:t>
      </w:r>
      <w:r w:rsidR="00B21502" w:rsidRPr="00B21502">
        <w:rPr>
          <w:rFonts w:cs="Arial"/>
          <w:i/>
        </w:rPr>
        <w:t>how</w:t>
      </w:r>
      <w:r w:rsidR="00B21502">
        <w:rPr>
          <w:rFonts w:cs="Arial"/>
        </w:rPr>
        <w:t xml:space="preserve"> </w:t>
      </w:r>
      <w:r w:rsidRPr="001530F2">
        <w:rPr>
          <w:rFonts w:cs="Arial"/>
        </w:rPr>
        <w:t xml:space="preserve">to monitor), there is </w:t>
      </w:r>
      <w:r w:rsidR="0048053D">
        <w:rPr>
          <w:rFonts w:cs="Arial"/>
        </w:rPr>
        <w:t xml:space="preserve">continuing </w:t>
      </w:r>
      <w:r w:rsidRPr="001530F2">
        <w:rPr>
          <w:rFonts w:cs="Arial"/>
        </w:rPr>
        <w:t xml:space="preserve">discussion about what exactly should be measured, </w:t>
      </w:r>
      <w:r w:rsidR="008F3DB4">
        <w:rPr>
          <w:rFonts w:cs="Arial"/>
        </w:rPr>
        <w:t xml:space="preserve">about </w:t>
      </w:r>
      <w:r w:rsidRPr="001530F2">
        <w:rPr>
          <w:rFonts w:cs="Arial"/>
        </w:rPr>
        <w:t>which parameters are important (i.e</w:t>
      </w:r>
      <w:r w:rsidR="00F83CAA">
        <w:rPr>
          <w:rFonts w:cs="Arial"/>
        </w:rPr>
        <w:t xml:space="preserve">. the </w:t>
      </w:r>
      <w:r w:rsidRPr="001530F2">
        <w:rPr>
          <w:rFonts w:cs="Arial"/>
        </w:rPr>
        <w:t xml:space="preserve">answers to the question </w:t>
      </w:r>
      <w:r w:rsidR="00F83CAA">
        <w:rPr>
          <w:rFonts w:cs="Arial"/>
        </w:rPr>
        <w:t xml:space="preserve">of </w:t>
      </w:r>
      <w:r w:rsidR="00B21502" w:rsidRPr="00B21502">
        <w:rPr>
          <w:rFonts w:cs="Arial"/>
          <w:i/>
        </w:rPr>
        <w:t>what</w:t>
      </w:r>
      <w:r w:rsidRPr="001530F2">
        <w:rPr>
          <w:rFonts w:cs="Arial"/>
          <w:b/>
        </w:rPr>
        <w:t xml:space="preserve"> </w:t>
      </w:r>
      <w:r w:rsidRPr="001530F2">
        <w:rPr>
          <w:rFonts w:cs="Arial"/>
        </w:rPr>
        <w:t>to monitor)</w:t>
      </w:r>
      <w:r w:rsidR="0048053D">
        <w:rPr>
          <w:rFonts w:cs="Arial"/>
        </w:rPr>
        <w:t xml:space="preserve"> and can </w:t>
      </w:r>
      <w:r w:rsidR="00491F68">
        <w:rPr>
          <w:rFonts w:cs="Arial"/>
        </w:rPr>
        <w:t xml:space="preserve">provide sufficient </w:t>
      </w:r>
      <w:r w:rsidRPr="001530F2">
        <w:rPr>
          <w:rFonts w:cs="Arial"/>
        </w:rPr>
        <w:t xml:space="preserve">basis to validate (and if need be adjust) the models on which </w:t>
      </w:r>
      <w:r w:rsidR="0048053D">
        <w:rPr>
          <w:rFonts w:cs="Arial"/>
        </w:rPr>
        <w:t xml:space="preserve">regulatory </w:t>
      </w:r>
      <w:r w:rsidRPr="001530F2">
        <w:rPr>
          <w:rFonts w:cs="Arial"/>
        </w:rPr>
        <w:t>safety cases</w:t>
      </w:r>
      <w:r w:rsidR="00F83CAA">
        <w:rPr>
          <w:rFonts w:cs="Arial"/>
        </w:rPr>
        <w:t xml:space="preserve"> </w:t>
      </w:r>
      <w:r w:rsidR="0048053D">
        <w:rPr>
          <w:rFonts w:cs="Arial"/>
        </w:rPr>
        <w:t xml:space="preserve">are </w:t>
      </w:r>
      <w:r w:rsidR="00F83CAA">
        <w:rPr>
          <w:rFonts w:cs="Arial"/>
        </w:rPr>
        <w:t>built</w:t>
      </w:r>
      <w:r w:rsidRPr="001530F2">
        <w:rPr>
          <w:rFonts w:cs="Arial"/>
        </w:rPr>
        <w:t>.</w:t>
      </w:r>
    </w:p>
    <w:p w:rsidR="000B3782" w:rsidRPr="001530F2" w:rsidRDefault="000B3782" w:rsidP="000B3782">
      <w:pPr>
        <w:rPr>
          <w:rFonts w:cs="Arial"/>
        </w:rPr>
      </w:pPr>
    </w:p>
    <w:p w:rsidR="000B3782" w:rsidRPr="001530F2" w:rsidRDefault="000B3782" w:rsidP="000B3782">
      <w:pPr>
        <w:rPr>
          <w:rFonts w:cs="Arial"/>
        </w:rPr>
      </w:pPr>
      <w:r w:rsidRPr="001530F2">
        <w:rPr>
          <w:rFonts w:cs="Arial"/>
        </w:rPr>
        <w:t>However, what</w:t>
      </w:r>
      <w:r w:rsidR="00FD55F9">
        <w:rPr>
          <w:rFonts w:cs="Arial"/>
        </w:rPr>
        <w:t>,</w:t>
      </w:r>
      <w:r w:rsidRPr="001530F2">
        <w:rPr>
          <w:rFonts w:cs="Arial"/>
        </w:rPr>
        <w:t xml:space="preserve"> how</w:t>
      </w:r>
      <w:r w:rsidR="00B842F7">
        <w:rPr>
          <w:rFonts w:cs="Arial"/>
        </w:rPr>
        <w:t xml:space="preserve"> and for how long</w:t>
      </w:r>
      <w:r w:rsidRPr="001530F2">
        <w:rPr>
          <w:rFonts w:cs="Arial"/>
        </w:rPr>
        <w:t xml:space="preserve"> to monitor remains not only a question of science and technology, but also of </w:t>
      </w:r>
      <w:r w:rsidR="00B842F7">
        <w:rPr>
          <w:rFonts w:cs="Arial"/>
        </w:rPr>
        <w:t>societal requirements</w:t>
      </w:r>
      <w:r w:rsidRPr="001530F2">
        <w:rPr>
          <w:rFonts w:cs="Arial"/>
        </w:rPr>
        <w:t xml:space="preserve">. </w:t>
      </w:r>
      <w:r w:rsidR="00FD55F9">
        <w:rPr>
          <w:rFonts w:cs="Arial"/>
        </w:rPr>
        <w:t xml:space="preserve">Over the operational life of a repository these requirements may change. </w:t>
      </w:r>
      <w:r w:rsidRPr="001530F2">
        <w:rPr>
          <w:rFonts w:cs="Arial"/>
        </w:rPr>
        <w:t xml:space="preserve">Monitoring programmes will </w:t>
      </w:r>
      <w:r w:rsidR="00FD55F9">
        <w:rPr>
          <w:rFonts w:cs="Arial"/>
        </w:rPr>
        <w:t xml:space="preserve">therefore need </w:t>
      </w:r>
      <w:r w:rsidRPr="001530F2">
        <w:rPr>
          <w:rFonts w:cs="Arial"/>
        </w:rPr>
        <w:t xml:space="preserve">to </w:t>
      </w:r>
      <w:r w:rsidR="00FD55F9">
        <w:rPr>
          <w:rFonts w:cs="Arial"/>
        </w:rPr>
        <w:t xml:space="preserve">possess sufficent flexibility </w:t>
      </w:r>
      <w:r w:rsidRPr="001530F2">
        <w:rPr>
          <w:rFonts w:cs="Arial"/>
        </w:rPr>
        <w:t xml:space="preserve">to </w:t>
      </w:r>
      <w:r w:rsidR="00FD55F9">
        <w:rPr>
          <w:rFonts w:cs="Arial"/>
        </w:rPr>
        <w:t xml:space="preserve">be able to respond </w:t>
      </w:r>
      <w:r w:rsidRPr="001530F2">
        <w:rPr>
          <w:rFonts w:cs="Arial"/>
        </w:rPr>
        <w:t xml:space="preserve">to changing social and regulatory expectations </w:t>
      </w:r>
      <w:r w:rsidR="00FD55F9">
        <w:rPr>
          <w:rFonts w:cs="Arial"/>
        </w:rPr>
        <w:t xml:space="preserve">that may be </w:t>
      </w:r>
      <w:r w:rsidRPr="001530F2">
        <w:rPr>
          <w:rFonts w:cs="Arial"/>
        </w:rPr>
        <w:t xml:space="preserve">placed </w:t>
      </w:r>
      <w:r w:rsidR="00FD55F9">
        <w:rPr>
          <w:rFonts w:cs="Arial"/>
        </w:rPr>
        <w:t xml:space="preserve">upon </w:t>
      </w:r>
      <w:r w:rsidRPr="001530F2">
        <w:rPr>
          <w:rFonts w:cs="Arial"/>
        </w:rPr>
        <w:t xml:space="preserve">them. </w:t>
      </w:r>
    </w:p>
    <w:p w:rsidR="000B3782" w:rsidRPr="001530F2" w:rsidRDefault="000B3782" w:rsidP="000B3782">
      <w:pPr>
        <w:rPr>
          <w:rFonts w:cs="Arial"/>
        </w:rPr>
      </w:pPr>
    </w:p>
    <w:p w:rsidR="000B3782" w:rsidRPr="001530F2" w:rsidRDefault="000B3782" w:rsidP="000B3782">
      <w:pPr>
        <w:rPr>
          <w:rFonts w:cs="Arial"/>
        </w:rPr>
      </w:pPr>
    </w:p>
    <w:p w:rsidR="000B3782" w:rsidRPr="001530F2" w:rsidRDefault="000B3782" w:rsidP="00EB7E9E">
      <w:pPr>
        <w:keepNext/>
        <w:keepLines/>
        <w:rPr>
          <w:rStyle w:val="Starkbetoning"/>
          <w:rFonts w:cs="Arial"/>
          <w:i w:val="0"/>
          <w:color w:val="auto"/>
        </w:rPr>
      </w:pPr>
      <w:r w:rsidRPr="001530F2">
        <w:rPr>
          <w:rStyle w:val="Starkbetoning"/>
          <w:rFonts w:cs="Arial"/>
          <w:i w:val="0"/>
          <w:color w:val="auto"/>
        </w:rPr>
        <w:lastRenderedPageBreak/>
        <w:t>MONITORING: A COMBINED TECHNICAL AND SOCIAL ACTIVITY</w:t>
      </w:r>
    </w:p>
    <w:p w:rsidR="000B3782" w:rsidRPr="001530F2" w:rsidRDefault="000B3782" w:rsidP="00EB7E9E">
      <w:pPr>
        <w:keepNext/>
        <w:keepLines/>
        <w:rPr>
          <w:rFonts w:cs="Arial"/>
        </w:rPr>
      </w:pPr>
    </w:p>
    <w:p w:rsidR="000B3782" w:rsidRPr="001530F2" w:rsidRDefault="008F3DB4" w:rsidP="00EB7E9E">
      <w:pPr>
        <w:keepNext/>
        <w:keepLines/>
        <w:rPr>
          <w:rFonts w:cs="Arial"/>
        </w:rPr>
      </w:pPr>
      <w:r>
        <w:rPr>
          <w:rFonts w:cs="Arial"/>
        </w:rPr>
        <w:t xml:space="preserve">To say that monitoring involves both </w:t>
      </w:r>
      <w:r w:rsidRPr="001530F2">
        <w:rPr>
          <w:rFonts w:cs="Arial"/>
        </w:rPr>
        <w:t>technical and social purposes</w:t>
      </w:r>
      <w:r>
        <w:rPr>
          <w:rFonts w:cs="Arial"/>
        </w:rPr>
        <w:t xml:space="preserve"> may seem perhaps to be self-evident because, as is clear from the preceding section, the </w:t>
      </w:r>
      <w:r w:rsidR="000B3782" w:rsidRPr="001530F2">
        <w:rPr>
          <w:rFonts w:cs="Arial"/>
        </w:rPr>
        <w:t xml:space="preserve">expert community recognises </w:t>
      </w:r>
      <w:r>
        <w:rPr>
          <w:rFonts w:cs="Arial"/>
        </w:rPr>
        <w:t>this to be the case</w:t>
      </w:r>
      <w:r w:rsidR="000B3782" w:rsidRPr="001530F2">
        <w:rPr>
          <w:rFonts w:cs="Arial"/>
        </w:rPr>
        <w:t xml:space="preserve">. </w:t>
      </w:r>
      <w:r>
        <w:rPr>
          <w:rFonts w:cs="Arial"/>
        </w:rPr>
        <w:t>Thus, w</w:t>
      </w:r>
      <w:r w:rsidR="000B3782" w:rsidRPr="001530F2">
        <w:rPr>
          <w:rFonts w:cs="Arial"/>
        </w:rPr>
        <w:t xml:space="preserve">hile there are strong technical reasons </w:t>
      </w:r>
      <w:r>
        <w:rPr>
          <w:rFonts w:cs="Arial"/>
        </w:rPr>
        <w:t xml:space="preserve">for </w:t>
      </w:r>
      <w:r w:rsidR="000B3782" w:rsidRPr="001530F2">
        <w:rPr>
          <w:rFonts w:cs="Arial"/>
        </w:rPr>
        <w:t>monitor</w:t>
      </w:r>
      <w:r>
        <w:rPr>
          <w:rFonts w:cs="Arial"/>
        </w:rPr>
        <w:t>ing</w:t>
      </w:r>
      <w:r w:rsidR="000B3782" w:rsidRPr="001530F2">
        <w:rPr>
          <w:rFonts w:cs="Arial"/>
        </w:rPr>
        <w:t xml:space="preserve"> a geological repository (e.g. monitoring of disturbances in the host rock during excavation; or monitoring the lining of entrance galleries in the period before closure in repositories in salt or </w:t>
      </w:r>
      <w:r w:rsidR="000B3782">
        <w:rPr>
          <w:rFonts w:cs="Arial"/>
        </w:rPr>
        <w:t>satur</w:t>
      </w:r>
      <w:r w:rsidR="000B3782" w:rsidRPr="001530F2">
        <w:rPr>
          <w:rFonts w:cs="Arial"/>
        </w:rPr>
        <w:t xml:space="preserve">ated clay), questions of evidence, confidence and decision-making always have, to a greater or lesser extent, a social component. </w:t>
      </w:r>
    </w:p>
    <w:p w:rsidR="000B3782" w:rsidRPr="001530F2" w:rsidRDefault="000B3782" w:rsidP="000B3782">
      <w:pPr>
        <w:rPr>
          <w:rFonts w:cs="Arial"/>
        </w:rPr>
      </w:pPr>
    </w:p>
    <w:p w:rsidR="000B3782" w:rsidRPr="001530F2" w:rsidRDefault="000B3782" w:rsidP="000B3782">
      <w:pPr>
        <w:rPr>
          <w:rFonts w:cs="Arial"/>
        </w:rPr>
      </w:pPr>
      <w:r w:rsidRPr="001530F2">
        <w:rPr>
          <w:rFonts w:cs="Arial"/>
        </w:rPr>
        <w:t xml:space="preserve">The prevailing paradigm for geological disposal today is not one of institutional forgetting, but one of actively remembering and continuous vigilance. This is by and large a matter of social preference: a result of how society today interprets nuclear safety.  The technical act of monitoring and the way its results are given meaning then become an important instrument in the pursuit of vigilance. </w:t>
      </w:r>
    </w:p>
    <w:p w:rsidR="000B3782" w:rsidRPr="001530F2" w:rsidRDefault="000B3782" w:rsidP="000B3782">
      <w:pPr>
        <w:rPr>
          <w:rFonts w:cs="Arial"/>
        </w:rPr>
      </w:pPr>
    </w:p>
    <w:p w:rsidR="000B3782" w:rsidRPr="00A05220" w:rsidRDefault="000B3782" w:rsidP="000B3782">
      <w:pPr>
        <w:rPr>
          <w:rStyle w:val="Diskretbetoning"/>
          <w:rFonts w:eastAsia="SimSun" w:cs="Arial"/>
          <w:b/>
          <w:bCs/>
          <w:i w:val="0"/>
          <w:iCs w:val="0"/>
          <w:color w:val="auto"/>
        </w:rPr>
      </w:pPr>
      <w:r w:rsidRPr="00A05220">
        <w:rPr>
          <w:rStyle w:val="Diskretbetoning"/>
          <w:rFonts w:cs="Arial"/>
          <w:b/>
          <w:i w:val="0"/>
          <w:color w:val="auto"/>
        </w:rPr>
        <w:t>Monitoring and Vigilance</w:t>
      </w:r>
    </w:p>
    <w:p w:rsidR="000B3782" w:rsidRPr="001530F2" w:rsidRDefault="000B3782" w:rsidP="000B3782">
      <w:pPr>
        <w:rPr>
          <w:rFonts w:cs="Arial"/>
        </w:rPr>
      </w:pPr>
      <w:r w:rsidRPr="001530F2">
        <w:rPr>
          <w:rFonts w:cs="Arial"/>
        </w:rPr>
        <w:t>The idea of vigilance as a leading principle for nuclear safety is not new, and has long had advocates within the nuclear expert community. A famous principled vision, outlining the challenge of the safe disposal of radioactive waste and how it should be addressed, was provided by the nuclear scientist Alvin Weinberg</w:t>
      </w:r>
      <w:r w:rsidR="008D3E62">
        <w:rPr>
          <w:rFonts w:cs="Arial"/>
        </w:rPr>
        <w:t xml:space="preserve"> </w:t>
      </w:r>
      <w:r w:rsidR="00B10EEF">
        <w:rPr>
          <w:rFonts w:cs="Arial"/>
        </w:rPr>
        <w:t>[</w:t>
      </w:r>
      <w:r w:rsidR="00F873B0">
        <w:rPr>
          <w:rFonts w:cs="Arial"/>
        </w:rPr>
        <w:t>4</w:t>
      </w:r>
      <w:r w:rsidR="00B10EEF">
        <w:rPr>
          <w:rFonts w:cs="Arial"/>
        </w:rPr>
        <w:t>]</w:t>
      </w:r>
      <w:r w:rsidRPr="001530F2">
        <w:rPr>
          <w:rFonts w:cs="Arial"/>
        </w:rPr>
        <w:t xml:space="preserve">. What was distinctive about the type of vigilance he had in mind, was its constant and tireless nature, as well as the exceptional longevity </w:t>
      </w:r>
      <w:r>
        <w:rPr>
          <w:rFonts w:cs="Arial"/>
        </w:rPr>
        <w:t xml:space="preserve">of vigilance </w:t>
      </w:r>
      <w:r w:rsidRPr="001530F2">
        <w:rPr>
          <w:rFonts w:cs="Arial"/>
        </w:rPr>
        <w:t>required to guarantee safety.</w:t>
      </w:r>
    </w:p>
    <w:p w:rsidR="000B3782" w:rsidRPr="001530F2" w:rsidRDefault="000B3782" w:rsidP="000B3782">
      <w:pPr>
        <w:rPr>
          <w:rFonts w:cs="Arial"/>
        </w:rPr>
      </w:pPr>
    </w:p>
    <w:p w:rsidR="000B3782" w:rsidRPr="001530F2" w:rsidRDefault="000B3782" w:rsidP="000B3782">
      <w:pPr>
        <w:rPr>
          <w:rFonts w:cs="Arial"/>
        </w:rPr>
      </w:pPr>
      <w:r w:rsidRPr="001530F2">
        <w:rPr>
          <w:rFonts w:cs="Arial"/>
        </w:rPr>
        <w:t xml:space="preserve">This is particularly the case for nuclear installations such as power plants, fuel production or reprocessing plants, and storage facilities. Deep geological repositories may in that respect be of a particular nature, as their inherent reliance on passive safety can be understood as a way of trying to renegotiate the need for ‘eternal’ vigilance. For Weinberg the relative advantage of geological disposal was indeed the progressive relaxation of monitoring demands it appears to allow for as a more complete isolation of the waste from the biosphere is secured. However, he still saw a residual amount of surveillance being required ‘almost in perpetuity’ even with geological disposal. </w:t>
      </w:r>
    </w:p>
    <w:p w:rsidR="000B3782" w:rsidRPr="001530F2" w:rsidRDefault="000B3782" w:rsidP="000B3782">
      <w:pPr>
        <w:rPr>
          <w:rFonts w:cs="Arial"/>
        </w:rPr>
      </w:pPr>
    </w:p>
    <w:p w:rsidR="000B3782" w:rsidRPr="001530F2" w:rsidRDefault="000B3782" w:rsidP="000B3782">
      <w:pPr>
        <w:rPr>
          <w:rFonts w:cs="Arial"/>
        </w:rPr>
      </w:pPr>
      <w:r w:rsidRPr="001530F2">
        <w:rPr>
          <w:rFonts w:cs="Arial"/>
        </w:rPr>
        <w:t>The question is then how to interpret this need for surveillance: How much vigilance is enough and how should it be organise</w:t>
      </w:r>
      <w:r>
        <w:rPr>
          <w:rFonts w:cs="Arial"/>
        </w:rPr>
        <w:t>d? This is a societal question that can</w:t>
      </w:r>
      <w:r w:rsidRPr="001530F2">
        <w:rPr>
          <w:rFonts w:cs="Arial"/>
        </w:rPr>
        <w:t xml:space="preserve">not be answered from a technical-expert perspective </w:t>
      </w:r>
      <w:r>
        <w:rPr>
          <w:rFonts w:cs="Arial"/>
        </w:rPr>
        <w:t>alone</w:t>
      </w:r>
      <w:r w:rsidR="00FD55F9">
        <w:rPr>
          <w:rFonts w:cs="Arial"/>
        </w:rPr>
        <w:t xml:space="preserve">, something that </w:t>
      </w:r>
      <w:r w:rsidRPr="001530F2">
        <w:rPr>
          <w:rFonts w:cs="Arial"/>
        </w:rPr>
        <w:t>Weinberg acknowledged.</w:t>
      </w:r>
    </w:p>
    <w:p w:rsidR="000B3782" w:rsidRPr="001530F2" w:rsidRDefault="000B3782" w:rsidP="000B3782">
      <w:pPr>
        <w:rPr>
          <w:rFonts w:cs="Arial"/>
        </w:rPr>
      </w:pPr>
    </w:p>
    <w:p w:rsidR="000B3782" w:rsidRPr="001530F2" w:rsidRDefault="000B3782" w:rsidP="000B3782">
      <w:pPr>
        <w:spacing w:after="120"/>
        <w:rPr>
          <w:rFonts w:cs="Arial"/>
        </w:rPr>
      </w:pPr>
      <w:r w:rsidRPr="001530F2">
        <w:rPr>
          <w:rFonts w:cs="Arial"/>
        </w:rPr>
        <w:t xml:space="preserve">Particularly with regard to monitoring for long-term safety in a pre- and post-closure phase, the appreciation of what monitoring can and should contribute is likely to vary considerably between experts and lay-stakeholders, inspired by fundamentally different views on what it means to stay vigilant and for how long. </w:t>
      </w:r>
    </w:p>
    <w:p w:rsidR="000B3782" w:rsidRPr="001530F2" w:rsidRDefault="000B3782" w:rsidP="000B3782">
      <w:pPr>
        <w:pStyle w:val="Liststycke"/>
        <w:numPr>
          <w:ilvl w:val="0"/>
          <w:numId w:val="1"/>
        </w:numPr>
        <w:spacing w:after="200" w:line="240" w:lineRule="auto"/>
        <w:ind w:left="782" w:hanging="357"/>
        <w:contextualSpacing w:val="0"/>
        <w:jc w:val="left"/>
        <w:rPr>
          <w:rFonts w:ascii="Arial" w:hAnsi="Arial" w:cs="Arial"/>
          <w:sz w:val="22"/>
          <w:szCs w:val="22"/>
        </w:rPr>
      </w:pPr>
      <w:r w:rsidRPr="001530F2">
        <w:rPr>
          <w:rFonts w:ascii="Arial" w:hAnsi="Arial" w:cs="Arial"/>
          <w:sz w:val="22"/>
          <w:szCs w:val="22"/>
        </w:rPr>
        <w:t xml:space="preserve">From an </w:t>
      </w:r>
      <w:r w:rsidRPr="001530F2">
        <w:rPr>
          <w:rFonts w:ascii="Arial" w:hAnsi="Arial" w:cs="Arial"/>
          <w:i/>
          <w:sz w:val="22"/>
          <w:szCs w:val="22"/>
        </w:rPr>
        <w:t>expert</w:t>
      </w:r>
      <w:r w:rsidRPr="001530F2">
        <w:rPr>
          <w:rFonts w:ascii="Arial" w:hAnsi="Arial" w:cs="Arial"/>
          <w:sz w:val="22"/>
          <w:szCs w:val="22"/>
        </w:rPr>
        <w:t xml:space="preserve"> point of view the focus of monitoring for long-term safety during the operational, and more general</w:t>
      </w:r>
      <w:r w:rsidR="00FD55F9">
        <w:rPr>
          <w:rFonts w:ascii="Arial" w:hAnsi="Arial" w:cs="Arial"/>
          <w:sz w:val="22"/>
          <w:szCs w:val="22"/>
        </w:rPr>
        <w:t>ly</w:t>
      </w:r>
      <w:r w:rsidRPr="001530F2">
        <w:rPr>
          <w:rFonts w:ascii="Arial" w:hAnsi="Arial" w:cs="Arial"/>
          <w:sz w:val="22"/>
          <w:szCs w:val="22"/>
        </w:rPr>
        <w:t xml:space="preserve"> pre-closure, phase is on </w:t>
      </w:r>
      <w:r w:rsidRPr="001530F2">
        <w:rPr>
          <w:rFonts w:ascii="Arial" w:hAnsi="Arial" w:cs="Arial"/>
          <w:i/>
          <w:sz w:val="22"/>
          <w:szCs w:val="22"/>
        </w:rPr>
        <w:t>confirming safety</w:t>
      </w:r>
      <w:r w:rsidRPr="001530F2">
        <w:rPr>
          <w:rFonts w:ascii="Arial" w:hAnsi="Arial" w:cs="Arial"/>
          <w:sz w:val="22"/>
          <w:szCs w:val="22"/>
        </w:rPr>
        <w:t>, rather th</w:t>
      </w:r>
      <w:r w:rsidR="00FD55F9">
        <w:rPr>
          <w:rFonts w:ascii="Arial" w:hAnsi="Arial" w:cs="Arial"/>
          <w:sz w:val="22"/>
          <w:szCs w:val="22"/>
        </w:rPr>
        <w:t>a</w:t>
      </w:r>
      <w:r w:rsidRPr="001530F2">
        <w:rPr>
          <w:rFonts w:ascii="Arial" w:hAnsi="Arial" w:cs="Arial"/>
          <w:sz w:val="22"/>
          <w:szCs w:val="22"/>
        </w:rPr>
        <w:t xml:space="preserve">en questioning safety. </w:t>
      </w:r>
      <w:r w:rsidR="00FD55F9">
        <w:rPr>
          <w:rFonts w:ascii="Arial" w:hAnsi="Arial" w:cs="Arial"/>
          <w:sz w:val="22"/>
          <w:szCs w:val="22"/>
        </w:rPr>
        <w:t>Monitoring i</w:t>
      </w:r>
      <w:r w:rsidRPr="001530F2">
        <w:rPr>
          <w:rFonts w:ascii="Arial" w:hAnsi="Arial" w:cs="Arial"/>
          <w:sz w:val="22"/>
          <w:szCs w:val="22"/>
        </w:rPr>
        <w:t xml:space="preserve">n a post-closure phase </w:t>
      </w:r>
      <w:r w:rsidR="00FD55F9">
        <w:rPr>
          <w:rFonts w:ascii="Arial" w:hAnsi="Arial" w:cs="Arial"/>
          <w:sz w:val="22"/>
          <w:szCs w:val="22"/>
        </w:rPr>
        <w:t xml:space="preserve">was </w:t>
      </w:r>
      <w:r w:rsidRPr="001530F2">
        <w:rPr>
          <w:rFonts w:ascii="Arial" w:hAnsi="Arial" w:cs="Arial"/>
          <w:sz w:val="22"/>
          <w:szCs w:val="22"/>
        </w:rPr>
        <w:t>view</w:t>
      </w:r>
      <w:r w:rsidR="00FD55F9">
        <w:rPr>
          <w:rFonts w:ascii="Arial" w:hAnsi="Arial" w:cs="Arial"/>
          <w:sz w:val="22"/>
          <w:szCs w:val="22"/>
        </w:rPr>
        <w:t>ed</w:t>
      </w:r>
      <w:r w:rsidRPr="001530F2">
        <w:rPr>
          <w:rFonts w:ascii="Arial" w:hAnsi="Arial" w:cs="Arial"/>
          <w:sz w:val="22"/>
          <w:szCs w:val="22"/>
        </w:rPr>
        <w:t xml:space="preserve"> </w:t>
      </w:r>
      <w:r w:rsidR="00FD55F9">
        <w:rPr>
          <w:rFonts w:ascii="Arial" w:hAnsi="Arial" w:cs="Arial"/>
          <w:sz w:val="22"/>
          <w:szCs w:val="22"/>
        </w:rPr>
        <w:t>typi</w:t>
      </w:r>
      <w:r w:rsidR="004733DC">
        <w:rPr>
          <w:rFonts w:ascii="Arial" w:hAnsi="Arial" w:cs="Arial"/>
          <w:sz w:val="22"/>
          <w:szCs w:val="22"/>
        </w:rPr>
        <w:t xml:space="preserve">cally in terms of </w:t>
      </w:r>
      <w:r w:rsidRPr="001530F2">
        <w:rPr>
          <w:rFonts w:ascii="Arial" w:hAnsi="Arial" w:cs="Arial"/>
          <w:sz w:val="22"/>
          <w:szCs w:val="22"/>
        </w:rPr>
        <w:t xml:space="preserve">observing changes in the repository environment and considering possible effects these may cause on the repository function. </w:t>
      </w:r>
      <w:r w:rsidR="004733DC">
        <w:rPr>
          <w:rFonts w:ascii="Arial" w:hAnsi="Arial" w:cs="Arial"/>
          <w:sz w:val="22"/>
          <w:szCs w:val="22"/>
        </w:rPr>
        <w:t xml:space="preserve">This view seems to accept </w:t>
      </w:r>
      <w:r w:rsidRPr="001530F2">
        <w:rPr>
          <w:rFonts w:ascii="Arial" w:hAnsi="Arial" w:cs="Arial"/>
          <w:sz w:val="22"/>
          <w:szCs w:val="22"/>
        </w:rPr>
        <w:t>the impossibility to foresee</w:t>
      </w:r>
      <w:r w:rsidR="004733DC">
        <w:rPr>
          <w:rFonts w:ascii="Arial" w:hAnsi="Arial" w:cs="Arial"/>
          <w:sz w:val="22"/>
          <w:szCs w:val="22"/>
        </w:rPr>
        <w:t xml:space="preserve"> and </w:t>
      </w:r>
      <w:r w:rsidR="004733DC" w:rsidRPr="001530F2">
        <w:rPr>
          <w:rFonts w:ascii="Arial" w:hAnsi="Arial" w:cs="Arial"/>
          <w:sz w:val="22"/>
          <w:szCs w:val="22"/>
        </w:rPr>
        <w:t xml:space="preserve">plan for </w:t>
      </w:r>
      <w:r w:rsidRPr="001530F2">
        <w:rPr>
          <w:rFonts w:ascii="Arial" w:hAnsi="Arial" w:cs="Arial"/>
          <w:sz w:val="22"/>
          <w:szCs w:val="22"/>
        </w:rPr>
        <w:t xml:space="preserve">all contingencies, but </w:t>
      </w:r>
      <w:r w:rsidR="004733DC">
        <w:rPr>
          <w:rFonts w:ascii="Arial" w:hAnsi="Arial" w:cs="Arial"/>
          <w:sz w:val="22"/>
          <w:szCs w:val="22"/>
        </w:rPr>
        <w:t xml:space="preserve">is </w:t>
      </w:r>
      <w:r w:rsidRPr="001530F2">
        <w:rPr>
          <w:rFonts w:ascii="Arial" w:hAnsi="Arial" w:cs="Arial"/>
          <w:sz w:val="22"/>
          <w:szCs w:val="22"/>
        </w:rPr>
        <w:t xml:space="preserve">focused on contingencies extraneous to the system. Preparedness for registering things previously unthought-of in terms of the repository system and its safety case, seems less </w:t>
      </w:r>
      <w:r w:rsidR="004733DC">
        <w:rPr>
          <w:rFonts w:ascii="Arial" w:hAnsi="Arial" w:cs="Arial"/>
          <w:sz w:val="22"/>
          <w:szCs w:val="22"/>
        </w:rPr>
        <w:t xml:space="preserve">evident </w:t>
      </w:r>
      <w:r w:rsidRPr="001530F2">
        <w:rPr>
          <w:rFonts w:ascii="Arial" w:hAnsi="Arial" w:cs="Arial"/>
          <w:sz w:val="22"/>
          <w:szCs w:val="22"/>
        </w:rPr>
        <w:t>when experts consider the post-closure phase.</w:t>
      </w:r>
    </w:p>
    <w:p w:rsidR="000B3782" w:rsidRPr="001530F2" w:rsidRDefault="000B3782" w:rsidP="000B3782">
      <w:pPr>
        <w:pStyle w:val="Liststycke"/>
        <w:numPr>
          <w:ilvl w:val="0"/>
          <w:numId w:val="1"/>
        </w:numPr>
        <w:spacing w:line="240" w:lineRule="auto"/>
        <w:ind w:left="782" w:hanging="357"/>
        <w:contextualSpacing w:val="0"/>
        <w:jc w:val="left"/>
        <w:rPr>
          <w:rFonts w:ascii="Arial" w:hAnsi="Arial" w:cs="Arial"/>
          <w:sz w:val="22"/>
          <w:szCs w:val="22"/>
        </w:rPr>
      </w:pPr>
      <w:r w:rsidRPr="001530F2">
        <w:rPr>
          <w:rFonts w:ascii="Arial" w:hAnsi="Arial" w:cs="Arial"/>
          <w:i/>
          <w:sz w:val="22"/>
          <w:szCs w:val="22"/>
        </w:rPr>
        <w:lastRenderedPageBreak/>
        <w:t>Lay stakeholders</w:t>
      </w:r>
      <w:r w:rsidRPr="001530F2">
        <w:rPr>
          <w:rFonts w:ascii="Arial" w:hAnsi="Arial" w:cs="Arial"/>
          <w:sz w:val="22"/>
          <w:szCs w:val="22"/>
        </w:rPr>
        <w:t xml:space="preserve"> on the other hand are more likely to </w:t>
      </w:r>
      <w:r w:rsidR="004733DC">
        <w:rPr>
          <w:rFonts w:ascii="Arial" w:hAnsi="Arial" w:cs="Arial"/>
          <w:sz w:val="22"/>
          <w:szCs w:val="22"/>
        </w:rPr>
        <w:t xml:space="preserve">place </w:t>
      </w:r>
      <w:r w:rsidRPr="001530F2">
        <w:rPr>
          <w:rFonts w:ascii="Arial" w:hAnsi="Arial" w:cs="Arial"/>
          <w:sz w:val="22"/>
          <w:szCs w:val="22"/>
        </w:rPr>
        <w:t xml:space="preserve">the emphasis on </w:t>
      </w:r>
      <w:r w:rsidR="004733DC">
        <w:rPr>
          <w:rFonts w:ascii="Arial" w:hAnsi="Arial" w:cs="Arial"/>
          <w:sz w:val="22"/>
          <w:szCs w:val="22"/>
        </w:rPr>
        <w:t xml:space="preserve">ensuring that </w:t>
      </w:r>
      <w:r w:rsidRPr="001530F2">
        <w:rPr>
          <w:rFonts w:ascii="Arial" w:hAnsi="Arial" w:cs="Arial"/>
          <w:sz w:val="22"/>
          <w:szCs w:val="22"/>
        </w:rPr>
        <w:t>the repository will not have any effect</w:t>
      </w:r>
      <w:r w:rsidR="004733DC">
        <w:rPr>
          <w:rFonts w:ascii="Arial" w:hAnsi="Arial" w:cs="Arial"/>
          <w:sz w:val="22"/>
          <w:szCs w:val="22"/>
        </w:rPr>
        <w:t>, at any time,</w:t>
      </w:r>
      <w:r w:rsidRPr="001530F2">
        <w:rPr>
          <w:rFonts w:ascii="Arial" w:hAnsi="Arial" w:cs="Arial"/>
          <w:sz w:val="22"/>
          <w:szCs w:val="22"/>
        </w:rPr>
        <w:t xml:space="preserve"> on its natural and </w:t>
      </w:r>
      <w:r w:rsidR="004733DC">
        <w:rPr>
          <w:rFonts w:ascii="Arial" w:hAnsi="Arial" w:cs="Arial"/>
          <w:sz w:val="22"/>
          <w:szCs w:val="22"/>
        </w:rPr>
        <w:t xml:space="preserve">human </w:t>
      </w:r>
      <w:r w:rsidRPr="001530F2">
        <w:rPr>
          <w:rFonts w:ascii="Arial" w:hAnsi="Arial" w:cs="Arial"/>
          <w:sz w:val="22"/>
          <w:szCs w:val="22"/>
        </w:rPr>
        <w:t>environment</w:t>
      </w:r>
      <w:r w:rsidR="004733DC">
        <w:rPr>
          <w:rFonts w:ascii="Arial" w:hAnsi="Arial" w:cs="Arial"/>
          <w:sz w:val="22"/>
          <w:szCs w:val="22"/>
        </w:rPr>
        <w:t>;</w:t>
      </w:r>
      <w:r w:rsidRPr="001530F2">
        <w:rPr>
          <w:rFonts w:ascii="Arial" w:hAnsi="Arial" w:cs="Arial"/>
          <w:sz w:val="22"/>
          <w:szCs w:val="22"/>
        </w:rPr>
        <w:t xml:space="preserve"> and on maintaining preparedness in case the unexpected does happen</w:t>
      </w:r>
      <w:r w:rsidR="004733DC">
        <w:rPr>
          <w:rFonts w:ascii="Arial" w:hAnsi="Arial" w:cs="Arial"/>
          <w:sz w:val="22"/>
          <w:szCs w:val="22"/>
        </w:rPr>
        <w:t>,</w:t>
      </w:r>
      <w:r w:rsidRPr="001530F2">
        <w:rPr>
          <w:rFonts w:ascii="Arial" w:hAnsi="Arial" w:cs="Arial"/>
          <w:sz w:val="22"/>
          <w:szCs w:val="22"/>
        </w:rPr>
        <w:t xml:space="preserve"> both pre- and post-closure. </w:t>
      </w:r>
      <w:r w:rsidR="004733DC">
        <w:rPr>
          <w:rFonts w:ascii="Arial" w:hAnsi="Arial" w:cs="Arial"/>
          <w:sz w:val="22"/>
          <w:szCs w:val="22"/>
        </w:rPr>
        <w:t xml:space="preserve">This view </w:t>
      </w:r>
      <w:r w:rsidRPr="001530F2">
        <w:rPr>
          <w:rFonts w:ascii="Arial" w:hAnsi="Arial" w:cs="Arial"/>
          <w:sz w:val="22"/>
          <w:szCs w:val="22"/>
        </w:rPr>
        <w:t xml:space="preserve">would be more in line with a </w:t>
      </w:r>
      <w:r w:rsidR="004733DC">
        <w:rPr>
          <w:rFonts w:ascii="Arial" w:hAnsi="Arial" w:cs="Arial"/>
          <w:sz w:val="22"/>
          <w:szCs w:val="22"/>
        </w:rPr>
        <w:t xml:space="preserve">use of </w:t>
      </w:r>
      <w:r w:rsidRPr="001530F2">
        <w:rPr>
          <w:rFonts w:ascii="Arial" w:hAnsi="Arial" w:cs="Arial"/>
          <w:sz w:val="22"/>
          <w:szCs w:val="22"/>
        </w:rPr>
        <w:t xml:space="preserve">monitoring </w:t>
      </w:r>
      <w:r w:rsidRPr="001530F2">
        <w:rPr>
          <w:rFonts w:ascii="Arial" w:hAnsi="Arial" w:cs="Arial"/>
          <w:i/>
          <w:sz w:val="22"/>
          <w:szCs w:val="22"/>
        </w:rPr>
        <w:t xml:space="preserve">to question, </w:t>
      </w:r>
      <w:r w:rsidR="004733DC" w:rsidRPr="004733DC">
        <w:rPr>
          <w:rFonts w:ascii="Arial" w:hAnsi="Arial" w:cs="Arial"/>
          <w:sz w:val="22"/>
          <w:szCs w:val="22"/>
        </w:rPr>
        <w:t>that is to</w:t>
      </w:r>
      <w:r w:rsidR="004733DC">
        <w:rPr>
          <w:rFonts w:ascii="Arial" w:hAnsi="Arial" w:cs="Arial"/>
          <w:i/>
          <w:sz w:val="22"/>
          <w:szCs w:val="22"/>
        </w:rPr>
        <w:t xml:space="preserve"> </w:t>
      </w:r>
      <w:r w:rsidRPr="001530F2">
        <w:rPr>
          <w:rFonts w:ascii="Arial" w:hAnsi="Arial" w:cs="Arial"/>
          <w:i/>
          <w:sz w:val="22"/>
          <w:szCs w:val="22"/>
        </w:rPr>
        <w:t>critically assess</w:t>
      </w:r>
      <w:r w:rsidR="004733DC">
        <w:rPr>
          <w:rFonts w:ascii="Arial" w:hAnsi="Arial" w:cs="Arial"/>
          <w:i/>
          <w:sz w:val="22"/>
          <w:szCs w:val="22"/>
        </w:rPr>
        <w:t>,</w:t>
      </w:r>
      <w:r w:rsidRPr="001530F2">
        <w:rPr>
          <w:rFonts w:ascii="Arial" w:hAnsi="Arial" w:cs="Arial"/>
          <w:i/>
          <w:sz w:val="22"/>
          <w:szCs w:val="22"/>
        </w:rPr>
        <w:t xml:space="preserve"> </w:t>
      </w:r>
      <w:r w:rsidRPr="00FD1D70">
        <w:rPr>
          <w:rFonts w:ascii="Arial" w:hAnsi="Arial" w:cs="Arial"/>
          <w:sz w:val="22"/>
          <w:szCs w:val="22"/>
        </w:rPr>
        <w:t>safety</w:t>
      </w:r>
      <w:r w:rsidRPr="001530F2">
        <w:rPr>
          <w:rFonts w:ascii="Arial" w:hAnsi="Arial" w:cs="Arial"/>
          <w:sz w:val="22"/>
          <w:szCs w:val="22"/>
        </w:rPr>
        <w:t>.</w:t>
      </w:r>
    </w:p>
    <w:p w:rsidR="000B3782" w:rsidRPr="001530F2" w:rsidRDefault="000B3782" w:rsidP="000B3782">
      <w:pPr>
        <w:rPr>
          <w:rFonts w:cs="Arial"/>
        </w:rPr>
      </w:pPr>
    </w:p>
    <w:p w:rsidR="000B3782" w:rsidRPr="001530F2" w:rsidRDefault="000B3782" w:rsidP="000B3782">
      <w:pPr>
        <w:rPr>
          <w:rFonts w:cs="Arial"/>
        </w:rPr>
      </w:pPr>
      <w:r w:rsidRPr="001530F2">
        <w:rPr>
          <w:rFonts w:cs="Arial"/>
        </w:rPr>
        <w:t xml:space="preserve">This difference in view stems from the fact that society at large may not be as confident as the expert community that with today’s knowledge experts can fully understand and control long term repository behaviour. These doubts have many origins, but are at least partially based on evidence from known cases of </w:t>
      </w:r>
      <w:r>
        <w:rPr>
          <w:rFonts w:cs="Arial"/>
        </w:rPr>
        <w:t>expert or institutional failure, whether in the nuclear field or elsewhere</w:t>
      </w:r>
      <w:r w:rsidR="00A075E0">
        <w:rPr>
          <w:rFonts w:cs="Arial"/>
        </w:rPr>
        <w:t xml:space="preserve">, and of what has been labelled the ‘atrophy of vigilance’ </w:t>
      </w:r>
      <w:r w:rsidR="006A1409">
        <w:rPr>
          <w:rFonts w:cs="Arial"/>
        </w:rPr>
        <w:t>[</w:t>
      </w:r>
      <w:r w:rsidR="00F873B0">
        <w:rPr>
          <w:rFonts w:cs="Arial"/>
        </w:rPr>
        <w:t>5</w:t>
      </w:r>
      <w:r w:rsidR="00A075E0">
        <w:rPr>
          <w:rFonts w:cs="Arial"/>
        </w:rPr>
        <w:t>, 6</w:t>
      </w:r>
      <w:r w:rsidR="006A1409">
        <w:rPr>
          <w:rFonts w:cs="Arial"/>
        </w:rPr>
        <w:t>]</w:t>
      </w:r>
      <w:r w:rsidRPr="001530F2">
        <w:rPr>
          <w:rFonts w:cs="Arial"/>
        </w:rPr>
        <w:t>. But it is not only risks due to negligence that give rise to public discomfort. What also worries people, is that there remain risks due to the impossibility of foreseeing all contingencies</w:t>
      </w:r>
      <w:r w:rsidR="000077B7">
        <w:rPr>
          <w:rFonts w:cs="Arial"/>
        </w:rPr>
        <w:t xml:space="preserve"> [</w:t>
      </w:r>
      <w:r w:rsidR="00A075E0">
        <w:rPr>
          <w:rFonts w:cs="Arial"/>
        </w:rPr>
        <w:t>7</w:t>
      </w:r>
      <w:r w:rsidR="000077B7">
        <w:rPr>
          <w:rFonts w:cs="Arial"/>
        </w:rPr>
        <w:t>]</w:t>
      </w:r>
      <w:r w:rsidRPr="001530F2">
        <w:rPr>
          <w:rFonts w:cs="Arial"/>
        </w:rPr>
        <w:t>. Expert statements on repository safety that do not recognise these uncertainties, may not be perceived as trustworthy.</w:t>
      </w:r>
    </w:p>
    <w:p w:rsidR="000B3782" w:rsidRPr="001530F2" w:rsidRDefault="000B3782" w:rsidP="000B3782">
      <w:pPr>
        <w:rPr>
          <w:rFonts w:cs="Arial"/>
        </w:rPr>
      </w:pPr>
    </w:p>
    <w:p w:rsidR="000B3782" w:rsidRPr="001530F2" w:rsidRDefault="000B3782" w:rsidP="000B3782">
      <w:pPr>
        <w:rPr>
          <w:rStyle w:val="Diskretbetoning"/>
          <w:rFonts w:eastAsia="SimSun" w:cs="Arial"/>
          <w:b/>
          <w:bCs/>
          <w:i w:val="0"/>
          <w:iCs w:val="0"/>
          <w:color w:val="auto"/>
        </w:rPr>
      </w:pPr>
      <w:r w:rsidRPr="001530F2">
        <w:rPr>
          <w:rStyle w:val="Diskretbetoning"/>
          <w:rFonts w:cs="Arial"/>
          <w:b/>
          <w:i w:val="0"/>
          <w:color w:val="auto"/>
        </w:rPr>
        <w:t>Putting Trust in the Monitoring System</w:t>
      </w:r>
    </w:p>
    <w:p w:rsidR="000B3782" w:rsidRPr="001530F2" w:rsidRDefault="000B3782" w:rsidP="000B3782">
      <w:pPr>
        <w:rPr>
          <w:rFonts w:cs="Arial"/>
        </w:rPr>
      </w:pPr>
      <w:r w:rsidRPr="001530F2">
        <w:rPr>
          <w:rFonts w:cs="Arial"/>
        </w:rPr>
        <w:t xml:space="preserve">The concept of trust is important in understanding the underlying mechanisms </w:t>
      </w:r>
      <w:r w:rsidR="00F2299B">
        <w:rPr>
          <w:rFonts w:cs="Arial"/>
        </w:rPr>
        <w:t xml:space="preserve">by which </w:t>
      </w:r>
      <w:r w:rsidRPr="001530F2">
        <w:rPr>
          <w:rFonts w:cs="Arial"/>
        </w:rPr>
        <w:t xml:space="preserve">monitoring may or may not contribute to building confidence in geological disposal. Given the very nature of radiation as a threat that is only visible through technical tools and scientific judgement, on issues of safety and feeling safe, </w:t>
      </w:r>
      <w:r w:rsidR="00F2299B">
        <w:rPr>
          <w:rFonts w:cs="Arial"/>
        </w:rPr>
        <w:t xml:space="preserve">citizens typically find themselves reliant upon - </w:t>
      </w:r>
      <w:r w:rsidRPr="001530F2">
        <w:rPr>
          <w:rFonts w:cs="Arial"/>
        </w:rPr>
        <w:t xml:space="preserve">and </w:t>
      </w:r>
      <w:r w:rsidR="00F2299B">
        <w:rPr>
          <w:rFonts w:cs="Arial"/>
        </w:rPr>
        <w:t xml:space="preserve">therefore being expected to </w:t>
      </w:r>
      <w:r w:rsidRPr="001530F2">
        <w:rPr>
          <w:rFonts w:cs="Arial"/>
        </w:rPr>
        <w:t xml:space="preserve">trust </w:t>
      </w:r>
      <w:r w:rsidR="00F2299B">
        <w:rPr>
          <w:rFonts w:cs="Arial"/>
        </w:rPr>
        <w:t xml:space="preserve">- </w:t>
      </w:r>
      <w:r w:rsidRPr="001530F2">
        <w:rPr>
          <w:rFonts w:cs="Arial"/>
        </w:rPr>
        <w:t>experts and expert systems</w:t>
      </w:r>
      <w:r w:rsidR="00F2299B">
        <w:rPr>
          <w:rFonts w:cs="Arial"/>
        </w:rPr>
        <w:t xml:space="preserve"> [</w:t>
      </w:r>
      <w:r w:rsidR="00A075E0">
        <w:rPr>
          <w:rFonts w:cs="Arial"/>
        </w:rPr>
        <w:t>8</w:t>
      </w:r>
      <w:r w:rsidR="00F2299B">
        <w:rPr>
          <w:rFonts w:cs="Arial"/>
        </w:rPr>
        <w:t>]</w:t>
      </w:r>
      <w:r w:rsidRPr="001530F2">
        <w:rPr>
          <w:rFonts w:cs="Arial"/>
        </w:rPr>
        <w:t xml:space="preserve">. </w:t>
      </w:r>
    </w:p>
    <w:p w:rsidR="000B3782" w:rsidRPr="001530F2" w:rsidRDefault="000B3782" w:rsidP="000B3782">
      <w:pPr>
        <w:rPr>
          <w:rFonts w:cs="Arial"/>
        </w:rPr>
      </w:pPr>
    </w:p>
    <w:p w:rsidR="000B3782" w:rsidRPr="001530F2" w:rsidRDefault="000B3782" w:rsidP="000B3782">
      <w:pPr>
        <w:rPr>
          <w:rFonts w:cs="Arial"/>
        </w:rPr>
      </w:pPr>
      <w:r w:rsidRPr="001530F2">
        <w:rPr>
          <w:rFonts w:cs="Arial"/>
        </w:rPr>
        <w:t>Trust is in essence about not worrying and not asking questions, but with regard to radioactive waste and its management, people do worry and are therefore not very eager to commit to putting a bet on the future contingent actions of the waste managers and the robustness of their long-term management systems. Furthermore</w:t>
      </w:r>
      <w:r w:rsidR="006A5095">
        <w:rPr>
          <w:rFonts w:cs="Arial"/>
        </w:rPr>
        <w:t>,</w:t>
      </w:r>
      <w:r w:rsidRPr="001530F2">
        <w:rPr>
          <w:rFonts w:cs="Arial"/>
        </w:rPr>
        <w:t xml:space="preserve"> </w:t>
      </w:r>
      <w:r w:rsidR="006A5095">
        <w:rPr>
          <w:rFonts w:cs="Arial"/>
        </w:rPr>
        <w:t xml:space="preserve">although attitude surveys have found that </w:t>
      </w:r>
      <w:r w:rsidRPr="001530F2">
        <w:rPr>
          <w:rFonts w:cs="Arial"/>
        </w:rPr>
        <w:t xml:space="preserve">in many </w:t>
      </w:r>
      <w:r w:rsidR="00597B0F">
        <w:rPr>
          <w:rFonts w:cs="Arial"/>
        </w:rPr>
        <w:t xml:space="preserve">European </w:t>
      </w:r>
      <w:r w:rsidRPr="001530F2">
        <w:rPr>
          <w:rFonts w:cs="Arial"/>
        </w:rPr>
        <w:t>countries</w:t>
      </w:r>
      <w:r w:rsidR="006A5095">
        <w:rPr>
          <w:rFonts w:cs="Arial"/>
        </w:rPr>
        <w:t xml:space="preserve"> scientists are the most trusted source of information on radioactive waste management</w:t>
      </w:r>
      <w:r w:rsidR="00597B0F">
        <w:rPr>
          <w:rFonts w:cs="Arial"/>
        </w:rPr>
        <w:t xml:space="preserve">, </w:t>
      </w:r>
      <w:r w:rsidR="006A5095">
        <w:rPr>
          <w:rFonts w:cs="Arial"/>
        </w:rPr>
        <w:t xml:space="preserve">albeit by only 40% of those surveyed across all Member States, other survey research </w:t>
      </w:r>
      <w:r w:rsidRPr="001530F2">
        <w:rPr>
          <w:rFonts w:cs="Arial"/>
        </w:rPr>
        <w:t>reveal</w:t>
      </w:r>
      <w:r w:rsidR="006A5095">
        <w:rPr>
          <w:rFonts w:cs="Arial"/>
        </w:rPr>
        <w:t>s</w:t>
      </w:r>
      <w:r w:rsidRPr="001530F2">
        <w:rPr>
          <w:rFonts w:cs="Arial"/>
        </w:rPr>
        <w:t xml:space="preserve"> public ambivalence </w:t>
      </w:r>
      <w:r w:rsidR="006A5095">
        <w:rPr>
          <w:rFonts w:cs="Arial"/>
        </w:rPr>
        <w:t xml:space="preserve">and </w:t>
      </w:r>
      <w:r w:rsidR="000077B7">
        <w:rPr>
          <w:rFonts w:cs="Arial"/>
        </w:rPr>
        <w:t xml:space="preserve">even significant levels of </w:t>
      </w:r>
      <w:r w:rsidRPr="001530F2">
        <w:rPr>
          <w:rFonts w:cs="Arial"/>
        </w:rPr>
        <w:t>distrust towards scientists and experts, and towards the institutions that employ them</w:t>
      </w:r>
      <w:r w:rsidR="00A353E2">
        <w:rPr>
          <w:rFonts w:cs="Arial"/>
        </w:rPr>
        <w:t xml:space="preserve">, particularly </w:t>
      </w:r>
      <w:r w:rsidR="00EA71BB">
        <w:rPr>
          <w:rFonts w:cs="Arial"/>
        </w:rPr>
        <w:t xml:space="preserve">when faced with </w:t>
      </w:r>
      <w:r w:rsidR="00A353E2">
        <w:rPr>
          <w:rFonts w:cs="Arial"/>
        </w:rPr>
        <w:t>controversial issues [</w:t>
      </w:r>
      <w:r w:rsidR="006A5095">
        <w:rPr>
          <w:rFonts w:cs="Arial"/>
        </w:rPr>
        <w:t>9</w:t>
      </w:r>
      <w:r w:rsidR="00A075E0">
        <w:rPr>
          <w:rFonts w:cs="Arial"/>
        </w:rPr>
        <w:t>, 10</w:t>
      </w:r>
      <w:r w:rsidR="00A353E2">
        <w:rPr>
          <w:rFonts w:cs="Arial"/>
        </w:rPr>
        <w:t>]</w:t>
      </w:r>
      <w:r w:rsidRPr="001530F2">
        <w:rPr>
          <w:rFonts w:cs="Arial"/>
        </w:rPr>
        <w:t>.</w:t>
      </w:r>
    </w:p>
    <w:p w:rsidR="000B3782" w:rsidRPr="001530F2" w:rsidRDefault="000B3782" w:rsidP="000B3782">
      <w:pPr>
        <w:rPr>
          <w:rFonts w:cs="Arial"/>
        </w:rPr>
      </w:pPr>
    </w:p>
    <w:p w:rsidR="000B3782" w:rsidRPr="001530F2" w:rsidRDefault="000B3782" w:rsidP="000B3782">
      <w:pPr>
        <w:rPr>
          <w:rFonts w:cs="Arial"/>
        </w:rPr>
      </w:pPr>
      <w:r w:rsidRPr="001530F2">
        <w:rPr>
          <w:rFonts w:cs="Arial"/>
        </w:rPr>
        <w:t xml:space="preserve">Cultivating good personal relationships can contribute to establishing and maintaining a degree of trust between individuals who interact regularly but this has limitations when considering whole institutions and large groups of stakeholders. What then can substitute for interpersonal trust? One answer lies in establishing mechanisms that underwrite trust in the (impersonal) activities of </w:t>
      </w:r>
      <w:r w:rsidR="00597B0F">
        <w:rPr>
          <w:rFonts w:cs="Arial"/>
        </w:rPr>
        <w:t xml:space="preserve">organisations and </w:t>
      </w:r>
      <w:r w:rsidRPr="001530F2">
        <w:rPr>
          <w:rFonts w:cs="Arial"/>
        </w:rPr>
        <w:t>institutions</w:t>
      </w:r>
      <w:r w:rsidR="008D3E62">
        <w:rPr>
          <w:rFonts w:cs="Arial"/>
        </w:rPr>
        <w:t xml:space="preserve"> </w:t>
      </w:r>
      <w:r w:rsidR="006A1409">
        <w:rPr>
          <w:rFonts w:cs="Arial"/>
        </w:rPr>
        <w:t>[</w:t>
      </w:r>
      <w:r w:rsidR="006A5095">
        <w:rPr>
          <w:rFonts w:cs="Arial"/>
        </w:rPr>
        <w:t>1</w:t>
      </w:r>
      <w:r w:rsidR="00A075E0">
        <w:rPr>
          <w:rFonts w:cs="Arial"/>
        </w:rPr>
        <w:t>1</w:t>
      </w:r>
      <w:r w:rsidR="00B10EEF">
        <w:rPr>
          <w:rFonts w:cs="Arial"/>
        </w:rPr>
        <w:t>]</w:t>
      </w:r>
      <w:r w:rsidRPr="001530F2">
        <w:rPr>
          <w:rFonts w:cs="Arial"/>
        </w:rPr>
        <w:t xml:space="preserve">; in the case of a radioactive waste repository this may include giving specific consideration to roles and responsibilities with regard to monitoring, to creating (arenas for) transparency and to enhancing its role in maintaining </w:t>
      </w:r>
      <w:r w:rsidR="002E1309">
        <w:rPr>
          <w:rFonts w:cs="Arial"/>
        </w:rPr>
        <w:t xml:space="preserve">and demonstrating </w:t>
      </w:r>
      <w:r w:rsidRPr="001530F2">
        <w:rPr>
          <w:rFonts w:cs="Arial"/>
        </w:rPr>
        <w:t>vigilance. For example:</w:t>
      </w:r>
    </w:p>
    <w:p w:rsidR="000B3782" w:rsidRPr="001530F2" w:rsidRDefault="000B3782" w:rsidP="000B3782">
      <w:pPr>
        <w:rPr>
          <w:rFonts w:cs="Arial"/>
        </w:rPr>
      </w:pPr>
    </w:p>
    <w:p w:rsidR="000B3782" w:rsidRPr="001530F2" w:rsidRDefault="000B3782" w:rsidP="000B3782">
      <w:pPr>
        <w:pStyle w:val="Liststycke"/>
        <w:numPr>
          <w:ilvl w:val="0"/>
          <w:numId w:val="1"/>
        </w:numPr>
        <w:spacing w:after="200" w:line="240" w:lineRule="auto"/>
        <w:ind w:left="782" w:hanging="357"/>
        <w:contextualSpacing w:val="0"/>
        <w:jc w:val="left"/>
        <w:rPr>
          <w:rFonts w:ascii="Arial" w:hAnsi="Arial" w:cs="Arial"/>
          <w:sz w:val="22"/>
          <w:szCs w:val="22"/>
        </w:rPr>
      </w:pPr>
      <w:r w:rsidRPr="001530F2">
        <w:rPr>
          <w:rFonts w:ascii="Arial" w:hAnsi="Arial" w:cs="Arial"/>
          <w:sz w:val="22"/>
          <w:szCs w:val="22"/>
        </w:rPr>
        <w:t xml:space="preserve">One element </w:t>
      </w:r>
      <w:r w:rsidR="00817D33">
        <w:rPr>
          <w:rFonts w:ascii="Arial" w:hAnsi="Arial" w:cs="Arial"/>
          <w:sz w:val="22"/>
          <w:szCs w:val="22"/>
        </w:rPr>
        <w:t xml:space="preserve">might </w:t>
      </w:r>
      <w:r w:rsidRPr="001530F2">
        <w:rPr>
          <w:rFonts w:ascii="Arial" w:hAnsi="Arial" w:cs="Arial"/>
          <w:sz w:val="22"/>
          <w:szCs w:val="22"/>
        </w:rPr>
        <w:t xml:space="preserve">be to make </w:t>
      </w:r>
      <w:r w:rsidR="00817D33" w:rsidRPr="001530F2">
        <w:rPr>
          <w:rFonts w:ascii="Arial" w:hAnsi="Arial" w:cs="Arial"/>
          <w:sz w:val="22"/>
          <w:szCs w:val="22"/>
        </w:rPr>
        <w:t>more explicit and binding</w:t>
      </w:r>
      <w:r w:rsidR="00817D33">
        <w:rPr>
          <w:rFonts w:ascii="Arial" w:hAnsi="Arial" w:cs="Arial"/>
          <w:sz w:val="22"/>
          <w:szCs w:val="22"/>
        </w:rPr>
        <w:t>,</w:t>
      </w:r>
      <w:r w:rsidR="00817D33" w:rsidRPr="001530F2">
        <w:rPr>
          <w:rFonts w:ascii="Arial" w:hAnsi="Arial" w:cs="Arial"/>
          <w:sz w:val="22"/>
          <w:szCs w:val="22"/>
        </w:rPr>
        <w:t xml:space="preserve"> through legal or regulatory provisions</w:t>
      </w:r>
      <w:r w:rsidR="00817D33">
        <w:rPr>
          <w:rFonts w:ascii="Arial" w:hAnsi="Arial" w:cs="Arial"/>
          <w:sz w:val="22"/>
          <w:szCs w:val="22"/>
        </w:rPr>
        <w:t>,</w:t>
      </w:r>
      <w:r w:rsidR="00817D33" w:rsidRPr="001530F2">
        <w:rPr>
          <w:rFonts w:ascii="Arial" w:hAnsi="Arial" w:cs="Arial"/>
          <w:sz w:val="22"/>
          <w:szCs w:val="22"/>
        </w:rPr>
        <w:t xml:space="preserve"> </w:t>
      </w:r>
      <w:r w:rsidRPr="001530F2">
        <w:rPr>
          <w:rFonts w:ascii="Arial" w:hAnsi="Arial" w:cs="Arial"/>
          <w:sz w:val="22"/>
          <w:szCs w:val="22"/>
        </w:rPr>
        <w:t xml:space="preserve">the role of monitoring as a tool for </w:t>
      </w:r>
      <w:r w:rsidR="00817D33">
        <w:rPr>
          <w:rFonts w:ascii="Arial" w:hAnsi="Arial" w:cs="Arial"/>
          <w:sz w:val="22"/>
          <w:szCs w:val="22"/>
        </w:rPr>
        <w:t>ensuring transparency, effective oversight and fully informed societal decision making</w:t>
      </w:r>
      <w:r w:rsidRPr="001530F2">
        <w:rPr>
          <w:rFonts w:ascii="Arial" w:hAnsi="Arial" w:cs="Arial"/>
          <w:sz w:val="22"/>
          <w:szCs w:val="22"/>
        </w:rPr>
        <w:t xml:space="preserve">. </w:t>
      </w:r>
    </w:p>
    <w:p w:rsidR="000B3782" w:rsidRPr="001530F2" w:rsidRDefault="000B3782" w:rsidP="000B3782">
      <w:pPr>
        <w:pStyle w:val="Liststycke"/>
        <w:numPr>
          <w:ilvl w:val="0"/>
          <w:numId w:val="1"/>
        </w:numPr>
        <w:spacing w:after="200" w:line="240" w:lineRule="auto"/>
        <w:ind w:left="782" w:hanging="357"/>
        <w:contextualSpacing w:val="0"/>
        <w:jc w:val="left"/>
        <w:rPr>
          <w:rFonts w:ascii="Arial" w:hAnsi="Arial" w:cs="Arial"/>
          <w:sz w:val="22"/>
          <w:szCs w:val="22"/>
        </w:rPr>
      </w:pPr>
      <w:r w:rsidRPr="001530F2">
        <w:rPr>
          <w:rFonts w:ascii="Arial" w:hAnsi="Arial" w:cs="Arial"/>
          <w:sz w:val="22"/>
          <w:szCs w:val="22"/>
        </w:rPr>
        <w:t>Another is to avoid a situation of potential self-regulation by making sure the implementer is not the only party who has monitoring responsibilities, and that there are different parties involved in the development, installation</w:t>
      </w:r>
      <w:r w:rsidRPr="001530F2">
        <w:rPr>
          <w:rFonts w:ascii="Arial" w:hAnsi="Arial" w:cs="Arial"/>
          <w:sz w:val="22"/>
          <w:szCs w:val="22"/>
          <w:lang w:eastAsia="nl-BE"/>
        </w:rPr>
        <w:t>, operation of monitoring devices and the analysis of their results.</w:t>
      </w:r>
    </w:p>
    <w:p w:rsidR="000B3782" w:rsidRPr="001530F2" w:rsidRDefault="000B3782" w:rsidP="000B3782">
      <w:pPr>
        <w:pStyle w:val="Liststycke"/>
        <w:numPr>
          <w:ilvl w:val="0"/>
          <w:numId w:val="1"/>
        </w:numPr>
        <w:spacing w:after="200" w:line="240" w:lineRule="auto"/>
        <w:ind w:left="782" w:hanging="357"/>
        <w:contextualSpacing w:val="0"/>
        <w:jc w:val="left"/>
        <w:rPr>
          <w:rFonts w:ascii="Arial" w:hAnsi="Arial" w:cs="Arial"/>
          <w:sz w:val="22"/>
          <w:szCs w:val="22"/>
        </w:rPr>
      </w:pPr>
      <w:r w:rsidRPr="001530F2">
        <w:rPr>
          <w:rFonts w:ascii="Arial" w:hAnsi="Arial" w:cs="Arial"/>
          <w:sz w:val="22"/>
          <w:szCs w:val="22"/>
        </w:rPr>
        <w:lastRenderedPageBreak/>
        <w:t xml:space="preserve">The role of an independent regulator is in that regard an important one. The regulator by definition plays </w:t>
      </w:r>
      <w:r w:rsidR="008F11F4">
        <w:rPr>
          <w:rFonts w:ascii="Arial" w:hAnsi="Arial" w:cs="Arial"/>
          <w:sz w:val="22"/>
          <w:szCs w:val="22"/>
        </w:rPr>
        <w:t xml:space="preserve">the role of </w:t>
      </w:r>
      <w:r w:rsidRPr="001530F2">
        <w:rPr>
          <w:rFonts w:ascii="Arial" w:hAnsi="Arial" w:cs="Arial"/>
          <w:sz w:val="22"/>
          <w:szCs w:val="22"/>
        </w:rPr>
        <w:t xml:space="preserve">intermediary between the implementer and society, and can </w:t>
      </w:r>
      <w:r w:rsidR="00817D33">
        <w:rPr>
          <w:rFonts w:ascii="Arial" w:hAnsi="Arial" w:cs="Arial"/>
          <w:sz w:val="22"/>
          <w:szCs w:val="22"/>
        </w:rPr>
        <w:t>make an important contribution to achieving public confidence</w:t>
      </w:r>
      <w:r w:rsidRPr="001530F2">
        <w:rPr>
          <w:rFonts w:ascii="Arial" w:hAnsi="Arial" w:cs="Arial"/>
          <w:sz w:val="22"/>
          <w:szCs w:val="22"/>
        </w:rPr>
        <w:t xml:space="preserve">. In an ideal world, there would be strong and competent regulators, working independently from the implementer, and guaranteeing to defend the overall good of society at all times. In the real world, this may not always be the case (e.g. due to limited state resources, too </w:t>
      </w:r>
      <w:r w:rsidR="00817D33">
        <w:rPr>
          <w:rFonts w:ascii="Arial" w:hAnsi="Arial" w:cs="Arial"/>
          <w:sz w:val="22"/>
          <w:szCs w:val="22"/>
        </w:rPr>
        <w:t xml:space="preserve">close links </w:t>
      </w:r>
      <w:r w:rsidRPr="001530F2">
        <w:rPr>
          <w:rFonts w:ascii="Arial" w:hAnsi="Arial" w:cs="Arial"/>
          <w:sz w:val="22"/>
          <w:szCs w:val="22"/>
        </w:rPr>
        <w:t xml:space="preserve">between those responsible for policy making and those regulating and supervising it, </w:t>
      </w:r>
      <w:r w:rsidR="00817D33">
        <w:rPr>
          <w:rFonts w:ascii="Arial" w:hAnsi="Arial" w:cs="Arial"/>
          <w:sz w:val="22"/>
          <w:szCs w:val="22"/>
        </w:rPr>
        <w:t>etc.</w:t>
      </w:r>
      <w:r w:rsidR="00817D33" w:rsidRPr="001530F2">
        <w:rPr>
          <w:rFonts w:ascii="Arial" w:hAnsi="Arial" w:cs="Arial"/>
          <w:sz w:val="22"/>
          <w:szCs w:val="22"/>
        </w:rPr>
        <w:t xml:space="preserve">), </w:t>
      </w:r>
      <w:r w:rsidRPr="001530F2">
        <w:rPr>
          <w:rFonts w:ascii="Arial" w:hAnsi="Arial" w:cs="Arial"/>
          <w:sz w:val="22"/>
          <w:szCs w:val="22"/>
        </w:rPr>
        <w:t xml:space="preserve">or </w:t>
      </w:r>
      <w:r w:rsidR="00817D33">
        <w:rPr>
          <w:rFonts w:ascii="Arial" w:hAnsi="Arial" w:cs="Arial"/>
          <w:sz w:val="22"/>
          <w:szCs w:val="22"/>
        </w:rPr>
        <w:t xml:space="preserve">it may, </w:t>
      </w:r>
      <w:r w:rsidRPr="001530F2">
        <w:rPr>
          <w:rFonts w:ascii="Arial" w:hAnsi="Arial" w:cs="Arial"/>
          <w:sz w:val="22"/>
          <w:szCs w:val="22"/>
        </w:rPr>
        <w:t>at least</w:t>
      </w:r>
      <w:r w:rsidR="00817D33">
        <w:rPr>
          <w:rFonts w:ascii="Arial" w:hAnsi="Arial" w:cs="Arial"/>
          <w:sz w:val="22"/>
          <w:szCs w:val="22"/>
        </w:rPr>
        <w:t>,</w:t>
      </w:r>
      <w:r w:rsidRPr="001530F2">
        <w:rPr>
          <w:rFonts w:ascii="Arial" w:hAnsi="Arial" w:cs="Arial"/>
          <w:sz w:val="22"/>
          <w:szCs w:val="22"/>
        </w:rPr>
        <w:t xml:space="preserve"> not necessarily </w:t>
      </w:r>
      <w:r w:rsidR="00817D33">
        <w:rPr>
          <w:rFonts w:ascii="Arial" w:hAnsi="Arial" w:cs="Arial"/>
          <w:sz w:val="22"/>
          <w:szCs w:val="22"/>
        </w:rPr>
        <w:t xml:space="preserve">be </w:t>
      </w:r>
      <w:r w:rsidRPr="001530F2">
        <w:rPr>
          <w:rFonts w:ascii="Arial" w:hAnsi="Arial" w:cs="Arial"/>
          <w:sz w:val="22"/>
          <w:szCs w:val="22"/>
        </w:rPr>
        <w:t>perceived as such</w:t>
      </w:r>
      <w:r w:rsidR="008F11F4">
        <w:rPr>
          <w:rFonts w:ascii="Arial" w:hAnsi="Arial" w:cs="Arial"/>
          <w:sz w:val="22"/>
          <w:szCs w:val="22"/>
        </w:rPr>
        <w:t xml:space="preserve"> by stakeholder groups and citizens</w:t>
      </w:r>
      <w:r w:rsidRPr="001530F2">
        <w:rPr>
          <w:rFonts w:ascii="Arial" w:hAnsi="Arial" w:cs="Arial"/>
          <w:sz w:val="22"/>
          <w:szCs w:val="22"/>
        </w:rPr>
        <w:t>.</w:t>
      </w:r>
    </w:p>
    <w:p w:rsidR="000B3782" w:rsidRPr="001530F2" w:rsidRDefault="008F11F4" w:rsidP="000B3782">
      <w:pPr>
        <w:pStyle w:val="Liststycke"/>
        <w:numPr>
          <w:ilvl w:val="0"/>
          <w:numId w:val="1"/>
        </w:numPr>
        <w:spacing w:line="240" w:lineRule="auto"/>
        <w:ind w:left="782" w:hanging="357"/>
        <w:contextualSpacing w:val="0"/>
        <w:jc w:val="left"/>
        <w:rPr>
          <w:rFonts w:ascii="Arial" w:hAnsi="Arial" w:cs="Arial"/>
          <w:sz w:val="22"/>
          <w:szCs w:val="22"/>
        </w:rPr>
      </w:pPr>
      <w:r>
        <w:rPr>
          <w:rFonts w:ascii="Arial" w:hAnsi="Arial" w:cs="Arial"/>
          <w:sz w:val="22"/>
          <w:szCs w:val="22"/>
        </w:rPr>
        <w:t xml:space="preserve">In addition to the regulator, therefore, consideration might be given, in those contexts where </w:t>
      </w:r>
      <w:r>
        <w:rPr>
          <w:rFonts w:ascii="Arial" w:hAnsi="Arial" w:cs="Arial"/>
          <w:sz w:val="22"/>
          <w:szCs w:val="22"/>
          <w:lang w:eastAsia="nl-BE"/>
        </w:rPr>
        <w:t xml:space="preserve">additional assurances are needed, </w:t>
      </w:r>
      <w:r>
        <w:rPr>
          <w:rFonts w:ascii="Arial" w:hAnsi="Arial" w:cs="Arial"/>
          <w:sz w:val="22"/>
          <w:szCs w:val="22"/>
        </w:rPr>
        <w:t xml:space="preserve">to </w:t>
      </w:r>
      <w:r w:rsidR="000B3782" w:rsidRPr="001530F2">
        <w:rPr>
          <w:rFonts w:ascii="Arial" w:hAnsi="Arial" w:cs="Arial"/>
          <w:sz w:val="22"/>
          <w:szCs w:val="22"/>
        </w:rPr>
        <w:t>complementary mechanisms that could contribute to rendering the monitoring system</w:t>
      </w:r>
      <w:r>
        <w:rPr>
          <w:rFonts w:ascii="Arial" w:hAnsi="Arial" w:cs="Arial"/>
          <w:sz w:val="22"/>
          <w:szCs w:val="22"/>
        </w:rPr>
        <w:t>, viewed as a socio-technical system,</w:t>
      </w:r>
      <w:r w:rsidR="000B3782" w:rsidRPr="001530F2">
        <w:rPr>
          <w:rFonts w:ascii="Arial" w:hAnsi="Arial" w:cs="Arial"/>
          <w:sz w:val="22"/>
          <w:szCs w:val="22"/>
        </w:rPr>
        <w:t xml:space="preserve"> more stable, traceable </w:t>
      </w:r>
      <w:r w:rsidR="00597B0F">
        <w:rPr>
          <w:rFonts w:ascii="Arial" w:hAnsi="Arial" w:cs="Arial"/>
          <w:sz w:val="22"/>
          <w:szCs w:val="22"/>
        </w:rPr>
        <w:t xml:space="preserve">and </w:t>
      </w:r>
      <w:r w:rsidR="000B3782" w:rsidRPr="001530F2">
        <w:rPr>
          <w:rFonts w:ascii="Arial" w:hAnsi="Arial" w:cs="Arial"/>
          <w:sz w:val="22"/>
          <w:szCs w:val="22"/>
        </w:rPr>
        <w:t>transparent.  These could for example consist of</w:t>
      </w:r>
      <w:r>
        <w:rPr>
          <w:rFonts w:ascii="Arial" w:hAnsi="Arial" w:cs="Arial"/>
          <w:sz w:val="22"/>
          <w:szCs w:val="22"/>
        </w:rPr>
        <w:t>:</w:t>
      </w:r>
      <w:r w:rsidR="000B3782" w:rsidRPr="001530F2">
        <w:rPr>
          <w:rFonts w:ascii="Arial" w:hAnsi="Arial" w:cs="Arial"/>
          <w:sz w:val="22"/>
          <w:szCs w:val="22"/>
        </w:rPr>
        <w:t xml:space="preserve"> introducing </w:t>
      </w:r>
      <w:r>
        <w:rPr>
          <w:rFonts w:ascii="Arial" w:hAnsi="Arial" w:cs="Arial"/>
          <w:sz w:val="22"/>
          <w:szCs w:val="22"/>
        </w:rPr>
        <w:t xml:space="preserve">other </w:t>
      </w:r>
      <w:r w:rsidR="000B3782" w:rsidRPr="001530F2">
        <w:rPr>
          <w:rFonts w:ascii="Arial" w:hAnsi="Arial" w:cs="Arial"/>
          <w:sz w:val="22"/>
          <w:szCs w:val="22"/>
        </w:rPr>
        <w:t>independent oversight bodies</w:t>
      </w:r>
      <w:r>
        <w:rPr>
          <w:rFonts w:ascii="Arial" w:hAnsi="Arial" w:cs="Arial"/>
          <w:sz w:val="22"/>
          <w:szCs w:val="22"/>
        </w:rPr>
        <w:t>;</w:t>
      </w:r>
      <w:r w:rsidR="000B3782" w:rsidRPr="001530F2">
        <w:rPr>
          <w:rFonts w:ascii="Arial" w:hAnsi="Arial" w:cs="Arial"/>
          <w:sz w:val="22"/>
          <w:szCs w:val="22"/>
        </w:rPr>
        <w:t xml:space="preserve"> </w:t>
      </w:r>
      <w:r w:rsidR="008D3E62">
        <w:rPr>
          <w:rFonts w:ascii="Arial" w:hAnsi="Arial" w:cs="Arial"/>
          <w:sz w:val="22"/>
          <w:szCs w:val="22"/>
        </w:rPr>
        <w:t xml:space="preserve">providing </w:t>
      </w:r>
      <w:r w:rsidR="000B3782" w:rsidRPr="001530F2">
        <w:rPr>
          <w:rFonts w:ascii="Arial" w:hAnsi="Arial" w:cs="Arial"/>
          <w:sz w:val="22"/>
          <w:szCs w:val="22"/>
        </w:rPr>
        <w:t xml:space="preserve">concerned stakeholders </w:t>
      </w:r>
      <w:r w:rsidR="008D3E62">
        <w:rPr>
          <w:rFonts w:ascii="Arial" w:hAnsi="Arial" w:cs="Arial"/>
          <w:sz w:val="22"/>
          <w:szCs w:val="22"/>
        </w:rPr>
        <w:t xml:space="preserve">with </w:t>
      </w:r>
      <w:r w:rsidR="000B3782" w:rsidRPr="001530F2">
        <w:rPr>
          <w:rFonts w:ascii="Arial" w:hAnsi="Arial" w:cs="Arial"/>
          <w:sz w:val="22"/>
          <w:szCs w:val="22"/>
        </w:rPr>
        <w:t xml:space="preserve">the </w:t>
      </w:r>
      <w:r w:rsidR="008D3E62">
        <w:rPr>
          <w:rFonts w:ascii="Arial" w:hAnsi="Arial" w:cs="Arial"/>
          <w:sz w:val="22"/>
          <w:szCs w:val="22"/>
        </w:rPr>
        <w:t xml:space="preserve">resources </w:t>
      </w:r>
      <w:r w:rsidR="000B3782" w:rsidRPr="001530F2">
        <w:rPr>
          <w:rFonts w:ascii="Arial" w:hAnsi="Arial" w:cs="Arial"/>
          <w:sz w:val="22"/>
          <w:szCs w:val="22"/>
        </w:rPr>
        <w:t xml:space="preserve">to </w:t>
      </w:r>
      <w:r>
        <w:rPr>
          <w:rFonts w:ascii="Arial" w:hAnsi="Arial" w:cs="Arial"/>
          <w:sz w:val="22"/>
          <w:szCs w:val="22"/>
        </w:rPr>
        <w:t xml:space="preserve">commission their own </w:t>
      </w:r>
      <w:r w:rsidR="000B3782" w:rsidRPr="001530F2">
        <w:rPr>
          <w:rFonts w:ascii="Arial" w:hAnsi="Arial" w:cs="Arial"/>
          <w:sz w:val="22"/>
          <w:szCs w:val="22"/>
        </w:rPr>
        <w:t>independent reviews of monitoring activity</w:t>
      </w:r>
      <w:r>
        <w:rPr>
          <w:rFonts w:ascii="Arial" w:hAnsi="Arial" w:cs="Arial"/>
          <w:sz w:val="22"/>
          <w:szCs w:val="22"/>
        </w:rPr>
        <w:t xml:space="preserve"> and results;</w:t>
      </w:r>
      <w:r w:rsidR="000B3782" w:rsidRPr="001530F2">
        <w:rPr>
          <w:rFonts w:ascii="Arial" w:hAnsi="Arial" w:cs="Arial"/>
          <w:sz w:val="22"/>
          <w:szCs w:val="22"/>
        </w:rPr>
        <w:t xml:space="preserve"> engaging concerned stakeholders to some extent in monitoring activity</w:t>
      </w:r>
      <w:r>
        <w:rPr>
          <w:rFonts w:ascii="Arial" w:hAnsi="Arial" w:cs="Arial"/>
          <w:sz w:val="22"/>
          <w:szCs w:val="22"/>
        </w:rPr>
        <w:t>;</w:t>
      </w:r>
      <w:r w:rsidR="000B3782" w:rsidRPr="001530F2">
        <w:rPr>
          <w:rFonts w:ascii="Arial" w:hAnsi="Arial" w:cs="Arial"/>
          <w:sz w:val="22"/>
          <w:szCs w:val="22"/>
        </w:rPr>
        <w:t xml:space="preserve"> </w:t>
      </w:r>
      <w:r>
        <w:rPr>
          <w:rFonts w:ascii="Arial" w:hAnsi="Arial" w:cs="Arial"/>
          <w:sz w:val="22"/>
          <w:szCs w:val="22"/>
        </w:rPr>
        <w:t>and so forth.</w:t>
      </w:r>
    </w:p>
    <w:p w:rsidR="000B3782" w:rsidRPr="001530F2" w:rsidRDefault="000B3782" w:rsidP="000B3782">
      <w:pPr>
        <w:rPr>
          <w:rFonts w:cs="Arial"/>
        </w:rPr>
      </w:pPr>
    </w:p>
    <w:p w:rsidR="000B3782" w:rsidRPr="001530F2" w:rsidRDefault="002713DB" w:rsidP="000B3782">
      <w:pPr>
        <w:rPr>
          <w:rFonts w:cs="Arial"/>
        </w:rPr>
      </w:pPr>
      <w:r>
        <w:rPr>
          <w:rFonts w:cs="Arial"/>
        </w:rPr>
        <w:t xml:space="preserve">When </w:t>
      </w:r>
      <w:r w:rsidR="008F11F4">
        <w:rPr>
          <w:rFonts w:cs="Arial"/>
        </w:rPr>
        <w:t>s</w:t>
      </w:r>
      <w:r w:rsidR="00B21502" w:rsidRPr="001530F2">
        <w:rPr>
          <w:rFonts w:cs="Arial"/>
        </w:rPr>
        <w:t xml:space="preserve">ociety </w:t>
      </w:r>
      <w:r>
        <w:rPr>
          <w:rFonts w:cs="Arial"/>
        </w:rPr>
        <w:t xml:space="preserve">comes </w:t>
      </w:r>
      <w:r w:rsidR="00B21502" w:rsidRPr="001530F2">
        <w:rPr>
          <w:rFonts w:cs="Arial"/>
        </w:rPr>
        <w:t xml:space="preserve">to </w:t>
      </w:r>
      <w:r w:rsidR="00B21502">
        <w:rPr>
          <w:rFonts w:cs="Arial"/>
        </w:rPr>
        <w:t xml:space="preserve">decide </w:t>
      </w:r>
      <w:r w:rsidR="000B3782" w:rsidRPr="001530F2">
        <w:rPr>
          <w:rFonts w:cs="Arial"/>
        </w:rPr>
        <w:t xml:space="preserve">how </w:t>
      </w:r>
      <w:r w:rsidR="00B21502">
        <w:rPr>
          <w:rFonts w:cs="Arial"/>
        </w:rPr>
        <w:t xml:space="preserve">intensively and for how long </w:t>
      </w:r>
      <w:r w:rsidR="000B3782" w:rsidRPr="001530F2">
        <w:rPr>
          <w:rFonts w:cs="Arial"/>
        </w:rPr>
        <w:t xml:space="preserve">vigilance </w:t>
      </w:r>
      <w:r w:rsidR="00B21502">
        <w:rPr>
          <w:rFonts w:cs="Arial"/>
        </w:rPr>
        <w:t>should be maintained</w:t>
      </w:r>
      <w:r w:rsidR="008F11F4">
        <w:rPr>
          <w:rFonts w:cs="Arial"/>
        </w:rPr>
        <w:t>, it will</w:t>
      </w:r>
      <w:r w:rsidR="000B3782" w:rsidRPr="001530F2">
        <w:rPr>
          <w:rFonts w:cs="Arial"/>
        </w:rPr>
        <w:t xml:space="preserve"> </w:t>
      </w:r>
      <w:r>
        <w:rPr>
          <w:rFonts w:cs="Arial"/>
        </w:rPr>
        <w:t xml:space="preserve">also be deciding what </w:t>
      </w:r>
      <w:r w:rsidR="000B3782" w:rsidRPr="001530F2">
        <w:rPr>
          <w:rFonts w:cs="Arial"/>
        </w:rPr>
        <w:t xml:space="preserve">level of trust </w:t>
      </w:r>
      <w:r>
        <w:rPr>
          <w:rFonts w:cs="Arial"/>
        </w:rPr>
        <w:t xml:space="preserve">it is willing to place in </w:t>
      </w:r>
      <w:r w:rsidR="000B3782" w:rsidRPr="001530F2">
        <w:rPr>
          <w:rFonts w:cs="Arial"/>
        </w:rPr>
        <w:t xml:space="preserve">the repository system (or </w:t>
      </w:r>
      <w:r>
        <w:rPr>
          <w:rFonts w:cs="Arial"/>
        </w:rPr>
        <w:t xml:space="preserve">in </w:t>
      </w:r>
      <w:r w:rsidR="000B3782" w:rsidRPr="001530F2">
        <w:rPr>
          <w:rFonts w:cs="Arial"/>
        </w:rPr>
        <w:t xml:space="preserve">the people implementing and inspecting it). </w:t>
      </w:r>
      <w:r>
        <w:rPr>
          <w:rFonts w:cs="Arial"/>
        </w:rPr>
        <w:t xml:space="preserve">This </w:t>
      </w:r>
      <w:r w:rsidR="000B3782" w:rsidRPr="001530F2">
        <w:rPr>
          <w:rFonts w:cs="Arial"/>
        </w:rPr>
        <w:t xml:space="preserve">will be easier to </w:t>
      </w:r>
      <w:r>
        <w:rPr>
          <w:rFonts w:cs="Arial"/>
        </w:rPr>
        <w:t xml:space="preserve">do </w:t>
      </w:r>
      <w:r w:rsidR="000B3782" w:rsidRPr="001530F2">
        <w:rPr>
          <w:rFonts w:cs="Arial"/>
        </w:rPr>
        <w:t xml:space="preserve">if during the progressive stages of conceptualisation, siting, licensing, construction and operation, there is the possibility to evaluate </w:t>
      </w:r>
      <w:r>
        <w:rPr>
          <w:rFonts w:cs="Arial"/>
        </w:rPr>
        <w:t xml:space="preserve">the </w:t>
      </w:r>
      <w:r w:rsidR="000D2C89">
        <w:rPr>
          <w:rFonts w:cs="Arial"/>
        </w:rPr>
        <w:t xml:space="preserve">evidence on which to </w:t>
      </w:r>
      <w:r>
        <w:rPr>
          <w:rFonts w:cs="Arial"/>
        </w:rPr>
        <w:t>bas</w:t>
      </w:r>
      <w:r w:rsidR="000D2C89">
        <w:rPr>
          <w:rFonts w:cs="Arial"/>
        </w:rPr>
        <w:t>e</w:t>
      </w:r>
      <w:r>
        <w:rPr>
          <w:rFonts w:cs="Arial"/>
        </w:rPr>
        <w:t xml:space="preserve"> </w:t>
      </w:r>
      <w:r w:rsidR="000B3782" w:rsidRPr="001530F2">
        <w:rPr>
          <w:rFonts w:cs="Arial"/>
        </w:rPr>
        <w:t>this trust</w:t>
      </w:r>
      <w:r w:rsidR="000D2C89">
        <w:rPr>
          <w:rFonts w:cs="Arial"/>
        </w:rPr>
        <w:t xml:space="preserve"> and to consider any uncertainties and limitations to which it may be subject </w:t>
      </w:r>
      <w:r w:rsidR="000B3782" w:rsidRPr="001530F2">
        <w:rPr>
          <w:rFonts w:cs="Arial"/>
        </w:rPr>
        <w:t xml:space="preserve">. </w:t>
      </w:r>
      <w:r w:rsidR="000D2C89">
        <w:rPr>
          <w:rFonts w:cs="Arial"/>
        </w:rPr>
        <w:t xml:space="preserve">The implementation of a credible and responsive monitoring strategy may be seen </w:t>
      </w:r>
      <w:r w:rsidR="000B3782" w:rsidRPr="001530F2">
        <w:rPr>
          <w:rFonts w:cs="Arial"/>
        </w:rPr>
        <w:t xml:space="preserve">to demonstrate that the operator of the disposal programme is aware that there are </w:t>
      </w:r>
      <w:r w:rsidR="000D2C89">
        <w:rPr>
          <w:rFonts w:cs="Arial"/>
        </w:rPr>
        <w:t xml:space="preserve">still </w:t>
      </w:r>
      <w:r w:rsidR="000B3782" w:rsidRPr="001530F2">
        <w:rPr>
          <w:rFonts w:cs="Arial"/>
        </w:rPr>
        <w:t>uncertainties and is tak</w:t>
      </w:r>
      <w:r w:rsidR="000D2C89">
        <w:rPr>
          <w:rFonts w:cs="Arial"/>
        </w:rPr>
        <w:t>ing</w:t>
      </w:r>
      <w:r w:rsidR="000B3782" w:rsidRPr="001530F2">
        <w:rPr>
          <w:rFonts w:cs="Arial"/>
        </w:rPr>
        <w:t xml:space="preserve"> </w:t>
      </w:r>
      <w:r w:rsidR="000D2C89">
        <w:rPr>
          <w:rFonts w:cs="Arial"/>
        </w:rPr>
        <w:t xml:space="preserve">appropriate </w:t>
      </w:r>
      <w:r w:rsidR="000B3782" w:rsidRPr="001530F2">
        <w:rPr>
          <w:rFonts w:cs="Arial"/>
        </w:rPr>
        <w:t xml:space="preserve">precautions </w:t>
      </w:r>
      <w:r w:rsidR="000D2C89">
        <w:rPr>
          <w:rFonts w:cs="Arial"/>
        </w:rPr>
        <w:t>by maintaining vigilance until society can satisfied that it is no longer required</w:t>
      </w:r>
      <w:r w:rsidR="000B3782" w:rsidRPr="001530F2">
        <w:rPr>
          <w:rFonts w:cs="Arial"/>
        </w:rPr>
        <w:t xml:space="preserve">. </w:t>
      </w:r>
    </w:p>
    <w:p w:rsidR="000B3782" w:rsidRPr="001530F2" w:rsidRDefault="000B3782" w:rsidP="000B3782">
      <w:pPr>
        <w:rPr>
          <w:rFonts w:cs="Arial"/>
        </w:rPr>
      </w:pPr>
    </w:p>
    <w:p w:rsidR="000B3782" w:rsidRPr="001530F2" w:rsidRDefault="000B3782" w:rsidP="000B3782">
      <w:pPr>
        <w:rPr>
          <w:rFonts w:cs="Arial"/>
        </w:rPr>
      </w:pPr>
      <w:r w:rsidRPr="001530F2">
        <w:rPr>
          <w:rFonts w:cs="Arial"/>
        </w:rPr>
        <w:t>This contains the risk of putting into question the premise of passive safety</w:t>
      </w:r>
      <w:r w:rsidR="008D3E62">
        <w:rPr>
          <w:rFonts w:cs="Arial"/>
        </w:rPr>
        <w:t xml:space="preserve"> as the </w:t>
      </w:r>
      <w:r w:rsidRPr="001530F2">
        <w:rPr>
          <w:rFonts w:cs="Arial"/>
        </w:rPr>
        <w:t xml:space="preserve">technical </w:t>
      </w:r>
      <w:r w:rsidR="008D3E62">
        <w:rPr>
          <w:rFonts w:cs="Arial"/>
        </w:rPr>
        <w:t xml:space="preserve">solution </w:t>
      </w:r>
      <w:r w:rsidR="003A526C">
        <w:rPr>
          <w:rFonts w:cs="Arial"/>
        </w:rPr>
        <w:t xml:space="preserve">that in principle obviates the need </w:t>
      </w:r>
      <w:r w:rsidRPr="001530F2">
        <w:rPr>
          <w:rFonts w:cs="Arial"/>
        </w:rPr>
        <w:t xml:space="preserve">for </w:t>
      </w:r>
      <w:r w:rsidR="003A526C">
        <w:rPr>
          <w:rFonts w:cs="Arial"/>
        </w:rPr>
        <w:t xml:space="preserve">extended societal </w:t>
      </w:r>
      <w:r w:rsidRPr="001530F2">
        <w:rPr>
          <w:rFonts w:cs="Arial"/>
        </w:rPr>
        <w:t xml:space="preserve">vigilance </w:t>
      </w:r>
      <w:r w:rsidR="003A526C">
        <w:rPr>
          <w:rFonts w:cs="Arial"/>
        </w:rPr>
        <w:t xml:space="preserve">- </w:t>
      </w:r>
      <w:r w:rsidRPr="001530F2">
        <w:rPr>
          <w:rFonts w:cs="Arial"/>
        </w:rPr>
        <w:t xml:space="preserve">or at least </w:t>
      </w:r>
      <w:r w:rsidR="003A526C">
        <w:rPr>
          <w:rFonts w:cs="Arial"/>
        </w:rPr>
        <w:t xml:space="preserve">may delay its </w:t>
      </w:r>
      <w:r w:rsidRPr="001530F2">
        <w:rPr>
          <w:rFonts w:cs="Arial"/>
        </w:rPr>
        <w:t>immediate implementation. By introducing the notion of reversibility in</w:t>
      </w:r>
      <w:r w:rsidR="003A526C">
        <w:rPr>
          <w:rFonts w:cs="Arial"/>
        </w:rPr>
        <w:t>to</w:t>
      </w:r>
      <w:r w:rsidRPr="001530F2">
        <w:rPr>
          <w:rFonts w:cs="Arial"/>
        </w:rPr>
        <w:t xml:space="preserve"> law, France and Switzerland are already moving towards an adapted technical </w:t>
      </w:r>
      <w:r w:rsidR="008D3E62">
        <w:rPr>
          <w:rFonts w:cs="Arial"/>
        </w:rPr>
        <w:t>solution</w:t>
      </w:r>
      <w:r w:rsidRPr="001530F2">
        <w:rPr>
          <w:rFonts w:cs="Arial"/>
        </w:rPr>
        <w:t xml:space="preserve">: one that eventually still relies on passive safety, but that puts this end point </w:t>
      </w:r>
      <w:r w:rsidR="003A526C">
        <w:rPr>
          <w:rFonts w:cs="Arial"/>
        </w:rPr>
        <w:t xml:space="preserve">potentially </w:t>
      </w:r>
      <w:r w:rsidRPr="001530F2">
        <w:rPr>
          <w:rFonts w:cs="Arial"/>
        </w:rPr>
        <w:t xml:space="preserve">much further out than initially planned. Such evolutions confront us more directly with the fact that we will inevitably pass burdens on to next generations (e.g. the decision to close – or not </w:t>
      </w:r>
      <w:r w:rsidR="00083724">
        <w:rPr>
          <w:rFonts w:cs="Arial"/>
        </w:rPr>
        <w:t xml:space="preserve">to close </w:t>
      </w:r>
      <w:r w:rsidRPr="001530F2">
        <w:rPr>
          <w:rFonts w:cs="Arial"/>
        </w:rPr>
        <w:t xml:space="preserve">– </w:t>
      </w:r>
      <w:r w:rsidR="00083724">
        <w:rPr>
          <w:rFonts w:cs="Arial"/>
        </w:rPr>
        <w:t>a repository</w:t>
      </w:r>
      <w:r w:rsidRPr="001530F2">
        <w:rPr>
          <w:rFonts w:cs="Arial"/>
        </w:rPr>
        <w:t xml:space="preserve">). </w:t>
      </w:r>
      <w:r w:rsidR="003A526C">
        <w:rPr>
          <w:rFonts w:cs="Arial"/>
        </w:rPr>
        <w:t>A</w:t>
      </w:r>
      <w:r w:rsidRPr="001530F2">
        <w:rPr>
          <w:rFonts w:cs="Arial"/>
        </w:rPr>
        <w:t>cknowledging this</w:t>
      </w:r>
      <w:r w:rsidR="003A526C">
        <w:rPr>
          <w:rFonts w:cs="Arial"/>
        </w:rPr>
        <w:t xml:space="preserve"> focuses attention on </w:t>
      </w:r>
      <w:r w:rsidRPr="001530F2">
        <w:rPr>
          <w:rFonts w:cs="Arial"/>
        </w:rPr>
        <w:t>the type</w:t>
      </w:r>
      <w:r w:rsidR="003A526C">
        <w:rPr>
          <w:rFonts w:cs="Arial"/>
        </w:rPr>
        <w:t>s</w:t>
      </w:r>
      <w:r w:rsidRPr="001530F2">
        <w:rPr>
          <w:rFonts w:cs="Arial"/>
        </w:rPr>
        <w:t xml:space="preserve"> of information, knowledge and skills that need to be passed on to future generations</w:t>
      </w:r>
      <w:r w:rsidR="003A526C">
        <w:rPr>
          <w:rFonts w:cs="Arial"/>
        </w:rPr>
        <w:t xml:space="preserve"> in order to support them in this decision</w:t>
      </w:r>
      <w:r w:rsidRPr="001530F2">
        <w:rPr>
          <w:rFonts w:cs="Arial"/>
        </w:rPr>
        <w:t xml:space="preserve">. </w:t>
      </w:r>
      <w:r w:rsidR="003A526C">
        <w:rPr>
          <w:rFonts w:cs="Arial"/>
        </w:rPr>
        <w:t>Continued m</w:t>
      </w:r>
      <w:r w:rsidRPr="001530F2">
        <w:rPr>
          <w:rFonts w:cs="Arial"/>
        </w:rPr>
        <w:t xml:space="preserve">onitoring, it would seem, could play an important role in providing future </w:t>
      </w:r>
      <w:r w:rsidR="003A526C">
        <w:rPr>
          <w:rFonts w:cs="Arial"/>
        </w:rPr>
        <w:t xml:space="preserve">facility </w:t>
      </w:r>
      <w:r w:rsidRPr="001530F2">
        <w:rPr>
          <w:rFonts w:cs="Arial"/>
        </w:rPr>
        <w:t xml:space="preserve">operators, regulators, decision-makers and other concerned parties </w:t>
      </w:r>
      <w:r w:rsidR="00083724">
        <w:rPr>
          <w:rFonts w:cs="Arial"/>
        </w:rPr>
        <w:t xml:space="preserve">with the necessary </w:t>
      </w:r>
      <w:r w:rsidR="003A526C">
        <w:rPr>
          <w:rFonts w:cs="Arial"/>
        </w:rPr>
        <w:t>resources</w:t>
      </w:r>
      <w:r w:rsidRPr="001530F2">
        <w:rPr>
          <w:rFonts w:cs="Arial"/>
        </w:rPr>
        <w:t xml:space="preserve">. </w:t>
      </w:r>
    </w:p>
    <w:p w:rsidR="000B3782" w:rsidRPr="001530F2" w:rsidRDefault="000B3782" w:rsidP="000B3782">
      <w:pPr>
        <w:rPr>
          <w:rFonts w:cs="Arial"/>
        </w:rPr>
      </w:pPr>
    </w:p>
    <w:p w:rsidR="000B3782" w:rsidRPr="001530F2" w:rsidRDefault="000B3782" w:rsidP="000B3782">
      <w:pPr>
        <w:rPr>
          <w:rStyle w:val="Starkbetoning"/>
          <w:rFonts w:cs="Arial"/>
          <w:i w:val="0"/>
          <w:color w:val="auto"/>
        </w:rPr>
      </w:pPr>
      <w:r w:rsidRPr="001530F2">
        <w:rPr>
          <w:rStyle w:val="Starkbetoning"/>
          <w:rFonts w:cs="Arial"/>
          <w:i w:val="0"/>
          <w:color w:val="auto"/>
        </w:rPr>
        <w:t>CONCLUSIONS</w:t>
      </w:r>
    </w:p>
    <w:p w:rsidR="000B3782" w:rsidRDefault="000B3782" w:rsidP="000B3782">
      <w:pPr>
        <w:rPr>
          <w:rFonts w:cs="Arial"/>
          <w:color w:val="000000"/>
        </w:rPr>
      </w:pPr>
    </w:p>
    <w:p w:rsidR="000B3782" w:rsidRPr="002544E2" w:rsidRDefault="000B3782" w:rsidP="000B3782">
      <w:pPr>
        <w:rPr>
          <w:rFonts w:cs="Arial"/>
          <w:color w:val="000000"/>
        </w:rPr>
      </w:pPr>
      <w:r>
        <w:rPr>
          <w:rFonts w:cs="Arial"/>
          <w:color w:val="000000"/>
        </w:rPr>
        <w:t>This has raised a number of issues for consideration when planning for engagement with stakeholders on the subject of repository monitoring</w:t>
      </w:r>
      <w:r w:rsidR="003A526C">
        <w:rPr>
          <w:rFonts w:cs="Arial"/>
          <w:color w:val="000000"/>
        </w:rPr>
        <w:t>, which is the focus of the subsequent phase of the socio-technical component of the MoDeRn research project</w:t>
      </w:r>
      <w:r>
        <w:rPr>
          <w:rFonts w:cs="Arial"/>
          <w:color w:val="000000"/>
        </w:rPr>
        <w:t xml:space="preserve">. This final section </w:t>
      </w:r>
      <w:r w:rsidRPr="002544E2">
        <w:rPr>
          <w:rFonts w:cs="Arial"/>
          <w:color w:val="000000"/>
        </w:rPr>
        <w:t xml:space="preserve">therefore </w:t>
      </w:r>
      <w:r>
        <w:rPr>
          <w:rFonts w:cs="Arial"/>
          <w:color w:val="000000"/>
        </w:rPr>
        <w:t xml:space="preserve">reviews </w:t>
      </w:r>
      <w:r w:rsidRPr="002544E2">
        <w:rPr>
          <w:rFonts w:cs="Arial"/>
          <w:color w:val="000000"/>
        </w:rPr>
        <w:t xml:space="preserve">the implications of </w:t>
      </w:r>
      <w:r>
        <w:rPr>
          <w:rFonts w:cs="Arial"/>
          <w:color w:val="000000"/>
        </w:rPr>
        <w:t xml:space="preserve">these </w:t>
      </w:r>
      <w:r w:rsidRPr="002544E2">
        <w:rPr>
          <w:rFonts w:cs="Arial"/>
          <w:color w:val="000000"/>
        </w:rPr>
        <w:t xml:space="preserve">findings for engaging different types of stakeholders, in particular </w:t>
      </w:r>
      <w:r w:rsidR="002E1309">
        <w:rPr>
          <w:rFonts w:cs="Arial"/>
          <w:color w:val="000000"/>
        </w:rPr>
        <w:t>non-specialist or ‘</w:t>
      </w:r>
      <w:r w:rsidRPr="002544E2">
        <w:rPr>
          <w:rFonts w:cs="Arial"/>
          <w:color w:val="000000"/>
        </w:rPr>
        <w:t>lay</w:t>
      </w:r>
      <w:r w:rsidR="002E1309">
        <w:rPr>
          <w:rFonts w:cs="Arial"/>
          <w:color w:val="000000"/>
        </w:rPr>
        <w:t>’</w:t>
      </w:r>
      <w:r w:rsidRPr="002544E2">
        <w:rPr>
          <w:rFonts w:cs="Arial"/>
          <w:color w:val="000000"/>
        </w:rPr>
        <w:t xml:space="preserve"> stakeholders, in defining monitoring objectives and strategies. </w:t>
      </w:r>
    </w:p>
    <w:p w:rsidR="000B3782" w:rsidRPr="002544E2" w:rsidRDefault="000B3782" w:rsidP="000B3782">
      <w:pPr>
        <w:rPr>
          <w:rFonts w:cs="Arial"/>
          <w:color w:val="000000"/>
        </w:rPr>
      </w:pPr>
    </w:p>
    <w:p w:rsidR="000B3782" w:rsidRPr="002544E2" w:rsidRDefault="000B3782" w:rsidP="000B3782">
      <w:pPr>
        <w:rPr>
          <w:rFonts w:cs="Arial"/>
          <w:lang w:eastAsia="nl-BE"/>
        </w:rPr>
      </w:pPr>
      <w:r w:rsidRPr="002544E2">
        <w:rPr>
          <w:rFonts w:cs="Arial"/>
          <w:lang w:eastAsia="nl-BE"/>
        </w:rPr>
        <w:t xml:space="preserve">One thing </w:t>
      </w:r>
      <w:r w:rsidR="00083724">
        <w:rPr>
          <w:rFonts w:cs="Arial"/>
          <w:lang w:eastAsia="nl-BE"/>
        </w:rPr>
        <w:t xml:space="preserve">upon which, from the evidence that we have examined, </w:t>
      </w:r>
      <w:r w:rsidRPr="002544E2">
        <w:rPr>
          <w:rFonts w:cs="Arial"/>
          <w:lang w:eastAsia="nl-BE"/>
        </w:rPr>
        <w:t xml:space="preserve">the expert community </w:t>
      </w:r>
      <w:r w:rsidR="00083724">
        <w:rPr>
          <w:rFonts w:cs="Arial"/>
          <w:lang w:eastAsia="nl-BE"/>
        </w:rPr>
        <w:t>appears to agree</w:t>
      </w:r>
      <w:r w:rsidRPr="002544E2">
        <w:rPr>
          <w:rFonts w:cs="Arial"/>
          <w:lang w:eastAsia="nl-BE"/>
        </w:rPr>
        <w:t xml:space="preserve"> is that issues of (re)assurance and confidence building are among the main </w:t>
      </w:r>
      <w:r w:rsidRPr="002544E2">
        <w:rPr>
          <w:rFonts w:cs="Arial"/>
          <w:lang w:eastAsia="nl-BE"/>
        </w:rPr>
        <w:lastRenderedPageBreak/>
        <w:t xml:space="preserve">drivers for monitoring. The vital question then becomes how to organise monitoring in such a way that it </w:t>
      </w:r>
      <w:r w:rsidR="00083724">
        <w:rPr>
          <w:rFonts w:cs="Arial"/>
          <w:lang w:eastAsia="nl-BE"/>
        </w:rPr>
        <w:t xml:space="preserve">responds to </w:t>
      </w:r>
      <w:r w:rsidRPr="002544E2">
        <w:rPr>
          <w:rFonts w:cs="Arial"/>
          <w:lang w:eastAsia="nl-BE"/>
        </w:rPr>
        <w:t xml:space="preserve">different stakeholders’ expectations, thus contributing to raising their confidence in a repository performing to the promised standards of safety. </w:t>
      </w:r>
    </w:p>
    <w:p w:rsidR="000B3782" w:rsidRPr="002544E2" w:rsidRDefault="000B3782" w:rsidP="000B3782">
      <w:pPr>
        <w:rPr>
          <w:rFonts w:cs="Arial"/>
          <w:lang w:eastAsia="nl-BE"/>
        </w:rPr>
      </w:pPr>
    </w:p>
    <w:p w:rsidR="000B3782" w:rsidRPr="002544E2" w:rsidRDefault="000B3782" w:rsidP="000B3782">
      <w:pPr>
        <w:rPr>
          <w:rFonts w:cs="Arial"/>
          <w:color w:val="000000"/>
        </w:rPr>
      </w:pPr>
      <w:r w:rsidRPr="002544E2">
        <w:rPr>
          <w:rFonts w:cs="Arial"/>
          <w:color w:val="000000"/>
        </w:rPr>
        <w:t>A first</w:t>
      </w:r>
      <w:r>
        <w:rPr>
          <w:rFonts w:cs="Arial"/>
          <w:color w:val="000000"/>
        </w:rPr>
        <w:t>,</w:t>
      </w:r>
      <w:r w:rsidRPr="002544E2">
        <w:rPr>
          <w:rFonts w:cs="Arial"/>
          <w:color w:val="000000"/>
        </w:rPr>
        <w:t xml:space="preserve"> </w:t>
      </w:r>
      <w:r>
        <w:rPr>
          <w:rFonts w:cs="Arial"/>
          <w:color w:val="000000"/>
        </w:rPr>
        <w:t xml:space="preserve">perhaps </w:t>
      </w:r>
      <w:r w:rsidR="00083724">
        <w:rPr>
          <w:rFonts w:cs="Arial"/>
          <w:color w:val="000000"/>
        </w:rPr>
        <w:t>self-evident</w:t>
      </w:r>
      <w:r>
        <w:rPr>
          <w:rFonts w:cs="Arial"/>
          <w:color w:val="000000"/>
        </w:rPr>
        <w:t xml:space="preserve">, </w:t>
      </w:r>
      <w:r w:rsidRPr="002544E2">
        <w:rPr>
          <w:rFonts w:cs="Arial"/>
          <w:color w:val="000000"/>
        </w:rPr>
        <w:t>observation is that monitoring is not an end in itself; rather it is a means to support, in a number of ways, the implementation of geological disposal</w:t>
      </w:r>
      <w:r w:rsidR="002E1309">
        <w:rPr>
          <w:rFonts w:cs="Arial"/>
          <w:color w:val="000000"/>
        </w:rPr>
        <w:t>, and it is the safety of geological disposal that is the main focus of stakeholder concern</w:t>
      </w:r>
      <w:r w:rsidRPr="002544E2">
        <w:rPr>
          <w:rFonts w:cs="Arial"/>
          <w:color w:val="000000"/>
        </w:rPr>
        <w:t xml:space="preserve">. </w:t>
      </w:r>
      <w:r w:rsidR="002E1309">
        <w:rPr>
          <w:rFonts w:cs="Arial"/>
          <w:color w:val="000000"/>
        </w:rPr>
        <w:t>O</w:t>
      </w:r>
      <w:r w:rsidRPr="002544E2">
        <w:rPr>
          <w:rFonts w:cs="Arial"/>
          <w:color w:val="000000"/>
        </w:rPr>
        <w:t>ne implication of this would be that</w:t>
      </w:r>
      <w:r w:rsidR="00FE1849">
        <w:rPr>
          <w:rFonts w:cs="Arial"/>
          <w:color w:val="000000"/>
        </w:rPr>
        <w:t>, g</w:t>
      </w:r>
      <w:r w:rsidR="00FE1849" w:rsidRPr="002544E2">
        <w:rPr>
          <w:rFonts w:cs="Arial"/>
          <w:color w:val="000000"/>
        </w:rPr>
        <w:t xml:space="preserve">iven the potential mediating role that </w:t>
      </w:r>
      <w:r w:rsidR="00FE1849">
        <w:rPr>
          <w:rFonts w:cs="Arial"/>
          <w:color w:val="000000"/>
        </w:rPr>
        <w:t xml:space="preserve">monitoring </w:t>
      </w:r>
      <w:r w:rsidR="00FE1849" w:rsidRPr="002544E2">
        <w:rPr>
          <w:rFonts w:cs="Arial"/>
          <w:color w:val="000000"/>
        </w:rPr>
        <w:t xml:space="preserve">may play in </w:t>
      </w:r>
      <w:r w:rsidR="00FE1849">
        <w:rPr>
          <w:rFonts w:cs="Arial"/>
          <w:color w:val="000000"/>
        </w:rPr>
        <w:t xml:space="preserve">supporting </w:t>
      </w:r>
      <w:r w:rsidR="00FE1849" w:rsidRPr="002544E2">
        <w:rPr>
          <w:rFonts w:cs="Arial"/>
          <w:color w:val="000000"/>
        </w:rPr>
        <w:t>stakeholder confidence</w:t>
      </w:r>
      <w:r w:rsidR="00FE1849">
        <w:rPr>
          <w:rFonts w:cs="Arial"/>
          <w:color w:val="000000"/>
        </w:rPr>
        <w:t xml:space="preserve"> in geological disposal,</w:t>
      </w:r>
      <w:r w:rsidRPr="002544E2">
        <w:rPr>
          <w:rFonts w:cs="Arial"/>
          <w:color w:val="000000"/>
        </w:rPr>
        <w:t xml:space="preserve"> any engagement on monitoring </w:t>
      </w:r>
      <w:r w:rsidR="00FE1849">
        <w:rPr>
          <w:rFonts w:cs="Arial"/>
          <w:color w:val="000000"/>
        </w:rPr>
        <w:t xml:space="preserve">would most usefully </w:t>
      </w:r>
      <w:r w:rsidRPr="002544E2">
        <w:rPr>
          <w:rFonts w:cs="Arial"/>
          <w:color w:val="000000"/>
        </w:rPr>
        <w:t xml:space="preserve">be set </w:t>
      </w:r>
      <w:r>
        <w:rPr>
          <w:rFonts w:cs="Arial"/>
          <w:color w:val="000000"/>
        </w:rPr>
        <w:t xml:space="preserve">in the context </w:t>
      </w:r>
      <w:r w:rsidRPr="002544E2">
        <w:rPr>
          <w:rFonts w:cs="Arial"/>
          <w:color w:val="000000"/>
        </w:rPr>
        <w:t xml:space="preserve">of </w:t>
      </w:r>
      <w:r w:rsidR="00FE1849">
        <w:rPr>
          <w:rFonts w:cs="Arial"/>
          <w:color w:val="000000"/>
        </w:rPr>
        <w:t xml:space="preserve">the citizen and stakeholder </w:t>
      </w:r>
      <w:r w:rsidR="003A526C">
        <w:rPr>
          <w:rFonts w:cs="Arial"/>
          <w:color w:val="000000"/>
        </w:rPr>
        <w:t xml:space="preserve">engagement </w:t>
      </w:r>
      <w:r w:rsidR="00FE1849">
        <w:rPr>
          <w:rFonts w:cs="Arial"/>
          <w:color w:val="000000"/>
        </w:rPr>
        <w:t xml:space="preserve">processes on the overall development and implementation of </w:t>
      </w:r>
      <w:r w:rsidRPr="002544E2">
        <w:rPr>
          <w:rFonts w:cs="Arial"/>
          <w:color w:val="000000"/>
        </w:rPr>
        <w:t>geological disposal.</w:t>
      </w:r>
      <w:r w:rsidR="002E1309">
        <w:rPr>
          <w:rStyle w:val="FootnoteReference"/>
          <w:rFonts w:cs="Arial"/>
          <w:color w:val="000000"/>
        </w:rPr>
        <w:footnoteReference w:id="3"/>
      </w:r>
      <w:r w:rsidRPr="002544E2">
        <w:rPr>
          <w:rFonts w:cs="Arial"/>
          <w:color w:val="000000"/>
        </w:rPr>
        <w:t xml:space="preserve">, This </w:t>
      </w:r>
      <w:r w:rsidR="00FE1849">
        <w:rPr>
          <w:rFonts w:cs="Arial"/>
          <w:color w:val="000000"/>
        </w:rPr>
        <w:t xml:space="preserve">may be applicable </w:t>
      </w:r>
      <w:r w:rsidRPr="002544E2">
        <w:rPr>
          <w:rFonts w:cs="Arial"/>
          <w:color w:val="000000"/>
        </w:rPr>
        <w:t xml:space="preserve">both at a national level, in relation to general policy questions of whether or not to opt for geological disposal and to more specific questions </w:t>
      </w:r>
      <w:r w:rsidR="00FE1849">
        <w:rPr>
          <w:rFonts w:cs="Arial"/>
          <w:color w:val="000000"/>
        </w:rPr>
        <w:t xml:space="preserve">such as that </w:t>
      </w:r>
      <w:r w:rsidRPr="002544E2">
        <w:rPr>
          <w:rFonts w:cs="Arial"/>
          <w:color w:val="000000"/>
        </w:rPr>
        <w:t xml:space="preserve">of reversibility and retrievability, and </w:t>
      </w:r>
      <w:r w:rsidR="00FE1849">
        <w:rPr>
          <w:rFonts w:cs="Arial"/>
          <w:color w:val="000000"/>
        </w:rPr>
        <w:t xml:space="preserve">also </w:t>
      </w:r>
      <w:r w:rsidRPr="002544E2">
        <w:rPr>
          <w:rFonts w:cs="Arial"/>
          <w:color w:val="000000"/>
        </w:rPr>
        <w:t xml:space="preserve">at the </w:t>
      </w:r>
      <w:r w:rsidR="00FE1849">
        <w:rPr>
          <w:rFonts w:cs="Arial"/>
          <w:color w:val="000000"/>
        </w:rPr>
        <w:t xml:space="preserve">regional or community </w:t>
      </w:r>
      <w:r w:rsidRPr="002544E2">
        <w:rPr>
          <w:rFonts w:cs="Arial"/>
          <w:color w:val="000000"/>
        </w:rPr>
        <w:t xml:space="preserve">level, </w:t>
      </w:r>
      <w:r w:rsidR="00FE1849">
        <w:rPr>
          <w:rFonts w:cs="Arial"/>
          <w:color w:val="000000"/>
        </w:rPr>
        <w:t>to supporting local decision making and as a continuing source of assurance of safety</w:t>
      </w:r>
      <w:r w:rsidRPr="002544E2">
        <w:rPr>
          <w:rFonts w:cs="Arial"/>
          <w:color w:val="000000"/>
        </w:rPr>
        <w:t xml:space="preserve">. </w:t>
      </w:r>
    </w:p>
    <w:p w:rsidR="000B3782" w:rsidRPr="002544E2" w:rsidRDefault="000B3782" w:rsidP="000B3782">
      <w:pPr>
        <w:rPr>
          <w:rFonts w:cs="Arial"/>
          <w:color w:val="000000"/>
        </w:rPr>
      </w:pPr>
    </w:p>
    <w:p w:rsidR="000B3782" w:rsidRPr="002544E2" w:rsidRDefault="000B3782" w:rsidP="000B3782">
      <w:pPr>
        <w:rPr>
          <w:rFonts w:cs="Arial"/>
          <w:color w:val="000000"/>
        </w:rPr>
      </w:pPr>
      <w:r w:rsidRPr="002544E2">
        <w:rPr>
          <w:rFonts w:cs="Arial"/>
          <w:color w:val="000000"/>
        </w:rPr>
        <w:t xml:space="preserve">A second observation deriving from </w:t>
      </w:r>
      <w:r>
        <w:rPr>
          <w:rFonts w:cs="Arial"/>
          <w:color w:val="000000"/>
        </w:rPr>
        <w:t xml:space="preserve">the </w:t>
      </w:r>
      <w:r w:rsidRPr="002544E2">
        <w:rPr>
          <w:rFonts w:cs="Arial"/>
          <w:color w:val="000000"/>
        </w:rPr>
        <w:t xml:space="preserve">research so far is that the way in which </w:t>
      </w:r>
      <w:r w:rsidR="00555B4F">
        <w:rPr>
          <w:rFonts w:cs="Arial"/>
          <w:color w:val="000000"/>
        </w:rPr>
        <w:t xml:space="preserve">experts </w:t>
      </w:r>
      <w:r w:rsidRPr="002544E2">
        <w:rPr>
          <w:rFonts w:cs="Arial"/>
          <w:color w:val="000000"/>
        </w:rPr>
        <w:t xml:space="preserve">view monitoring and what they expect to obtain from it differs according to (among other things) the way they view the concept of geological disposal and long-term safety. </w:t>
      </w:r>
      <w:r w:rsidR="00555B4F">
        <w:rPr>
          <w:rFonts w:cs="Arial"/>
          <w:color w:val="000000"/>
        </w:rPr>
        <w:t>O</w:t>
      </w:r>
      <w:r w:rsidRPr="002544E2">
        <w:rPr>
          <w:rFonts w:cs="Arial"/>
          <w:color w:val="000000"/>
        </w:rPr>
        <w:t>n the one hand, some have great confidence in the multi-barrier design providing multiple safety functions to ensure long-term safety, seeing monitoring primarily as a means of confirming the models on which they have based the repository design and which are used to evaluate long term safety after closure, but as having no active safety role in the post-closure phase. Others</w:t>
      </w:r>
      <w:r w:rsidR="0048053D">
        <w:rPr>
          <w:rFonts w:cs="Arial"/>
          <w:color w:val="000000"/>
        </w:rPr>
        <w:t>,</w:t>
      </w:r>
      <w:r w:rsidRPr="002544E2">
        <w:rPr>
          <w:rFonts w:cs="Arial"/>
          <w:color w:val="000000"/>
        </w:rPr>
        <w:t xml:space="preserve"> on the other hand</w:t>
      </w:r>
      <w:r w:rsidR="0048053D">
        <w:rPr>
          <w:rFonts w:cs="Arial"/>
          <w:color w:val="000000"/>
        </w:rPr>
        <w:t>,</w:t>
      </w:r>
      <w:r w:rsidRPr="002544E2">
        <w:rPr>
          <w:rFonts w:cs="Arial"/>
          <w:color w:val="000000"/>
        </w:rPr>
        <w:t xml:space="preserve"> see post-closure monitoring for unexpected evolutions of the repository</w:t>
      </w:r>
      <w:r w:rsidR="00305C3E" w:rsidRPr="002544E2">
        <w:rPr>
          <w:rFonts w:cs="Arial"/>
          <w:color w:val="000000"/>
        </w:rPr>
        <w:t>, at least for a period of time</w:t>
      </w:r>
      <w:r w:rsidR="00305C3E">
        <w:rPr>
          <w:rFonts w:cs="Arial"/>
          <w:color w:val="000000"/>
        </w:rPr>
        <w:t>,</w:t>
      </w:r>
      <w:r w:rsidRPr="002544E2">
        <w:rPr>
          <w:rFonts w:cs="Arial"/>
          <w:color w:val="000000"/>
        </w:rPr>
        <w:t xml:space="preserve"> as a precaution</w:t>
      </w:r>
      <w:r w:rsidR="00305C3E">
        <w:rPr>
          <w:rFonts w:cs="Arial"/>
          <w:color w:val="000000"/>
        </w:rPr>
        <w:t xml:space="preserve"> that might be considered necessary, if only by societal decision makers</w:t>
      </w:r>
      <w:r w:rsidRPr="002544E2">
        <w:rPr>
          <w:rFonts w:cs="Arial"/>
          <w:color w:val="000000"/>
        </w:rPr>
        <w:t xml:space="preserve">. This is not simply a matter of a difference between expert and ‘lay’ perceptions. </w:t>
      </w:r>
      <w:r>
        <w:rPr>
          <w:rFonts w:cs="Arial"/>
          <w:color w:val="000000"/>
        </w:rPr>
        <w:t xml:space="preserve">The data that were collected showed that </w:t>
      </w:r>
      <w:r w:rsidRPr="002544E2">
        <w:rPr>
          <w:rFonts w:cs="Arial"/>
          <w:color w:val="000000"/>
        </w:rPr>
        <w:t xml:space="preserve">there is more than one way of interpreting passive safety as a </w:t>
      </w:r>
      <w:r w:rsidRPr="007522C4">
        <w:t>viable alternative to perpetual, active vigilance</w:t>
      </w:r>
      <w:r>
        <w:t>.</w:t>
      </w:r>
      <w:r w:rsidRPr="002544E2">
        <w:rPr>
          <w:rFonts w:cs="Arial"/>
          <w:color w:val="000000"/>
        </w:rPr>
        <w:t xml:space="preserve"> </w:t>
      </w:r>
      <w:r>
        <w:rPr>
          <w:rFonts w:cs="Arial"/>
          <w:color w:val="000000"/>
        </w:rPr>
        <w:t xml:space="preserve">Where </w:t>
      </w:r>
      <w:r w:rsidRPr="002544E2">
        <w:rPr>
          <w:rFonts w:cs="Arial"/>
          <w:color w:val="000000"/>
        </w:rPr>
        <w:t xml:space="preserve">underlying </w:t>
      </w:r>
      <w:r>
        <w:rPr>
          <w:rFonts w:cs="Arial"/>
          <w:color w:val="000000"/>
        </w:rPr>
        <w:t xml:space="preserve">assumptions about geological disposal </w:t>
      </w:r>
      <w:r w:rsidR="00305C3E">
        <w:rPr>
          <w:rFonts w:cs="Arial"/>
          <w:color w:val="000000"/>
        </w:rPr>
        <w:t xml:space="preserve">and about safety </w:t>
      </w:r>
      <w:r w:rsidRPr="002544E2">
        <w:rPr>
          <w:rFonts w:cs="Arial"/>
          <w:color w:val="000000"/>
        </w:rPr>
        <w:t>are not made explicit</w:t>
      </w:r>
      <w:r>
        <w:rPr>
          <w:rFonts w:cs="Arial"/>
          <w:color w:val="000000"/>
        </w:rPr>
        <w:t>,</w:t>
      </w:r>
      <w:r w:rsidRPr="002544E2">
        <w:rPr>
          <w:rFonts w:cs="Arial"/>
          <w:color w:val="000000"/>
        </w:rPr>
        <w:t xml:space="preserve"> </w:t>
      </w:r>
      <w:r>
        <w:rPr>
          <w:rFonts w:cs="Arial"/>
          <w:color w:val="000000"/>
        </w:rPr>
        <w:t xml:space="preserve">their influence on </w:t>
      </w:r>
      <w:r w:rsidRPr="002544E2">
        <w:rPr>
          <w:rFonts w:cs="Arial"/>
          <w:color w:val="000000"/>
        </w:rPr>
        <w:t>interpretations and expectations as regards to monitoring</w:t>
      </w:r>
      <w:r>
        <w:rPr>
          <w:rFonts w:cs="Arial"/>
          <w:color w:val="000000"/>
        </w:rPr>
        <w:t xml:space="preserve"> will not be clear</w:t>
      </w:r>
      <w:r w:rsidRPr="002544E2">
        <w:rPr>
          <w:rFonts w:cs="Arial"/>
          <w:color w:val="000000"/>
        </w:rPr>
        <w:t xml:space="preserve">. When engaging with different types of stakeholders, therefore, those responsible for developing and implementing repository monitoring strategies as part of national HLW repository programmes will not only need to take into account the existence of different conceptualisations </w:t>
      </w:r>
      <w:r>
        <w:rPr>
          <w:rFonts w:cs="Arial"/>
          <w:color w:val="000000"/>
        </w:rPr>
        <w:t xml:space="preserve">of these issues </w:t>
      </w:r>
      <w:r w:rsidRPr="002544E2">
        <w:rPr>
          <w:rFonts w:cs="Arial"/>
          <w:color w:val="000000"/>
        </w:rPr>
        <w:t xml:space="preserve">but </w:t>
      </w:r>
      <w:r>
        <w:rPr>
          <w:rFonts w:cs="Arial"/>
          <w:color w:val="000000"/>
        </w:rPr>
        <w:t xml:space="preserve">will </w:t>
      </w:r>
      <w:r w:rsidRPr="002544E2">
        <w:rPr>
          <w:rFonts w:cs="Arial"/>
          <w:color w:val="000000"/>
        </w:rPr>
        <w:t xml:space="preserve">also </w:t>
      </w:r>
      <w:r>
        <w:rPr>
          <w:rFonts w:cs="Arial"/>
          <w:color w:val="000000"/>
        </w:rPr>
        <w:t xml:space="preserve">need </w:t>
      </w:r>
      <w:r w:rsidRPr="002544E2">
        <w:rPr>
          <w:rFonts w:cs="Arial"/>
          <w:color w:val="000000"/>
        </w:rPr>
        <w:t>to focus their interactions with stakeholders on making explicit what lies behind different actors’ views on monitoring, including their own.</w:t>
      </w:r>
    </w:p>
    <w:p w:rsidR="000B3782" w:rsidRPr="002544E2" w:rsidRDefault="000B3782" w:rsidP="000B3782">
      <w:pPr>
        <w:rPr>
          <w:rFonts w:cs="Arial"/>
          <w:color w:val="000000"/>
        </w:rPr>
      </w:pPr>
    </w:p>
    <w:p w:rsidR="000B3782" w:rsidRPr="002544E2" w:rsidRDefault="000B3782" w:rsidP="000B3782">
      <w:pPr>
        <w:rPr>
          <w:rFonts w:cs="Arial"/>
        </w:rPr>
      </w:pPr>
      <w:r w:rsidRPr="002544E2">
        <w:rPr>
          <w:rFonts w:cs="Arial"/>
          <w:lang w:eastAsia="nl-BE"/>
        </w:rPr>
        <w:t xml:space="preserve">Third, and related to this, is </w:t>
      </w:r>
      <w:r>
        <w:rPr>
          <w:rFonts w:cs="Arial"/>
          <w:lang w:eastAsia="nl-BE"/>
        </w:rPr>
        <w:t xml:space="preserve">the observation that </w:t>
      </w:r>
      <w:r w:rsidRPr="002544E2">
        <w:rPr>
          <w:rFonts w:cs="Arial"/>
          <w:lang w:eastAsia="nl-BE"/>
        </w:rPr>
        <w:t xml:space="preserve">monitoring could be part of the answer to the societal expectation that vigilance should be maintaineds. </w:t>
      </w:r>
      <w:r>
        <w:rPr>
          <w:rFonts w:cs="Arial"/>
          <w:lang w:eastAsia="nl-BE"/>
        </w:rPr>
        <w:t>L</w:t>
      </w:r>
      <w:r w:rsidRPr="002544E2">
        <w:rPr>
          <w:rFonts w:cs="Arial"/>
          <w:lang w:eastAsia="nl-BE"/>
        </w:rPr>
        <w:t xml:space="preserve">ike it or not, </w:t>
      </w:r>
      <w:r>
        <w:rPr>
          <w:rFonts w:cs="Arial"/>
          <w:lang w:eastAsia="nl-BE"/>
        </w:rPr>
        <w:t xml:space="preserve">some </w:t>
      </w:r>
      <w:r w:rsidRPr="002544E2">
        <w:rPr>
          <w:rFonts w:cs="Arial"/>
          <w:lang w:eastAsia="nl-BE"/>
        </w:rPr>
        <w:t xml:space="preserve">burdens will inevitably be passed on to future generations. First, because in most programmes it seems unlikely that geological repositories will be closed by the same generation who build them. Second, because certainty and safety can never be </w:t>
      </w:r>
      <w:r>
        <w:rPr>
          <w:rFonts w:cs="Arial"/>
          <w:lang w:eastAsia="nl-BE"/>
        </w:rPr>
        <w:t xml:space="preserve">unconditionally </w:t>
      </w:r>
      <w:r w:rsidRPr="002544E2">
        <w:rPr>
          <w:rFonts w:cs="Arial"/>
          <w:lang w:eastAsia="nl-BE"/>
        </w:rPr>
        <w:t xml:space="preserve">guaranteed. </w:t>
      </w:r>
      <w:r w:rsidRPr="002544E2">
        <w:rPr>
          <w:rFonts w:cs="Arial"/>
        </w:rPr>
        <w:t xml:space="preserve">By broadening the debate on monitoring objectives to include how to register things previously unthought-of and thus considering not only the ‘known unknowns’, but also the </w:t>
      </w:r>
      <w:r w:rsidR="00555B4F">
        <w:rPr>
          <w:rFonts w:cs="Arial"/>
        </w:rPr>
        <w:t xml:space="preserve">potential for </w:t>
      </w:r>
      <w:r w:rsidRPr="002544E2">
        <w:rPr>
          <w:rFonts w:cs="Arial"/>
        </w:rPr>
        <w:t>‘unknown unknowns’, experts can show humility and recognition of the impossibility to plan for or foresee all contingencies in advance of their occurrence.</w:t>
      </w:r>
      <w:r w:rsidRPr="002544E2">
        <w:rPr>
          <w:rStyle w:val="FootnoteReference"/>
          <w:rFonts w:cs="Arial"/>
        </w:rPr>
        <w:footnoteReference w:id="4"/>
      </w:r>
      <w:r w:rsidRPr="002544E2">
        <w:rPr>
          <w:rFonts w:cs="Arial"/>
        </w:rPr>
        <w:t xml:space="preserve"> This </w:t>
      </w:r>
      <w:r w:rsidR="00555B4F">
        <w:rPr>
          <w:rFonts w:cs="Arial"/>
        </w:rPr>
        <w:t xml:space="preserve">would </w:t>
      </w:r>
      <w:r w:rsidRPr="002544E2">
        <w:rPr>
          <w:rFonts w:cs="Arial"/>
        </w:rPr>
        <w:t xml:space="preserve">also mean showing preparedness to discuss monitoring issues not only </w:t>
      </w:r>
      <w:r w:rsidR="00555B4F">
        <w:rPr>
          <w:rFonts w:cs="Arial"/>
        </w:rPr>
        <w:t xml:space="preserve">with a </w:t>
      </w:r>
      <w:r w:rsidRPr="002544E2">
        <w:rPr>
          <w:rFonts w:cs="Arial"/>
        </w:rPr>
        <w:t xml:space="preserve">view </w:t>
      </w:r>
      <w:r w:rsidR="00555B4F">
        <w:rPr>
          <w:rFonts w:cs="Arial"/>
        </w:rPr>
        <w:t xml:space="preserve">to </w:t>
      </w:r>
      <w:r w:rsidRPr="002544E2">
        <w:rPr>
          <w:rFonts w:cs="Arial"/>
        </w:rPr>
        <w:t xml:space="preserve">preparing for closure (the main purpose for monitoring from an expert perspective), but also with regard to a post-closure phase, or </w:t>
      </w:r>
      <w:r w:rsidR="00555B4F">
        <w:rPr>
          <w:rFonts w:cs="Arial"/>
        </w:rPr>
        <w:t xml:space="preserve">as an extension of monitoring during the operational phase </w:t>
      </w:r>
      <w:r w:rsidRPr="002544E2">
        <w:rPr>
          <w:rFonts w:cs="Arial"/>
        </w:rPr>
        <w:t xml:space="preserve">in </w:t>
      </w:r>
      <w:r w:rsidR="00555B4F">
        <w:rPr>
          <w:rFonts w:cs="Arial"/>
        </w:rPr>
        <w:t xml:space="preserve">the case </w:t>
      </w:r>
      <w:r w:rsidRPr="002544E2">
        <w:rPr>
          <w:rFonts w:cs="Arial"/>
        </w:rPr>
        <w:t xml:space="preserve">of a </w:t>
      </w:r>
      <w:r w:rsidR="00305C3E">
        <w:rPr>
          <w:rFonts w:cs="Arial"/>
        </w:rPr>
        <w:t xml:space="preserve">societal decision to </w:t>
      </w:r>
      <w:r w:rsidR="00305C3E">
        <w:rPr>
          <w:rFonts w:cs="Arial"/>
        </w:rPr>
        <w:lastRenderedPageBreak/>
        <w:t xml:space="preserve">postpone </w:t>
      </w:r>
      <w:r w:rsidRPr="002544E2">
        <w:rPr>
          <w:rFonts w:cs="Arial"/>
        </w:rPr>
        <w:t xml:space="preserve">final closure. </w:t>
      </w:r>
      <w:r>
        <w:rPr>
          <w:rFonts w:cs="Arial"/>
        </w:rPr>
        <w:t xml:space="preserve">The adoption in some countries of </w:t>
      </w:r>
      <w:r>
        <w:t xml:space="preserve">pre-closure management options of retrievability or reversibility could be viewed as indication of such humility and of </w:t>
      </w:r>
      <w:r w:rsidR="00387514">
        <w:t xml:space="preserve">a </w:t>
      </w:r>
      <w:r>
        <w:t xml:space="preserve">technical preparedness to </w:t>
      </w:r>
      <w:r w:rsidR="00387514">
        <w:t xml:space="preserve">respond </w:t>
      </w:r>
      <w:r>
        <w:t xml:space="preserve">should future socio-technical decision </w:t>
      </w:r>
      <w:r w:rsidR="00555B4F">
        <w:t xml:space="preserve">making </w:t>
      </w:r>
      <w:r>
        <w:t xml:space="preserve">lead to actions other than </w:t>
      </w:r>
      <w:r w:rsidR="00555B4F">
        <w:t xml:space="preserve">immediate </w:t>
      </w:r>
      <w:r>
        <w:t xml:space="preserve">closure. </w:t>
      </w:r>
    </w:p>
    <w:p w:rsidR="000B3782" w:rsidRPr="002544E2" w:rsidRDefault="000B3782" w:rsidP="000B3782">
      <w:pPr>
        <w:rPr>
          <w:rFonts w:cs="Arial"/>
          <w:lang w:eastAsia="nl-BE"/>
        </w:rPr>
      </w:pPr>
      <w:r w:rsidRPr="002544E2">
        <w:rPr>
          <w:rFonts w:cs="Arial"/>
        </w:rPr>
        <w:t xml:space="preserve">What seems important is that monitoring programmes are designed </w:t>
      </w:r>
      <w:r w:rsidR="00387514">
        <w:rPr>
          <w:rFonts w:cs="Arial"/>
        </w:rPr>
        <w:t xml:space="preserve">– and are seen to be so designed - to </w:t>
      </w:r>
      <w:r w:rsidRPr="002544E2">
        <w:rPr>
          <w:rFonts w:cs="Arial"/>
        </w:rPr>
        <w:t xml:space="preserve">remain </w:t>
      </w:r>
      <w:r w:rsidR="00387514">
        <w:rPr>
          <w:rFonts w:cs="Arial"/>
        </w:rPr>
        <w:t xml:space="preserve">sufficiently </w:t>
      </w:r>
      <w:r w:rsidRPr="002544E2">
        <w:rPr>
          <w:rFonts w:cs="Arial"/>
        </w:rPr>
        <w:t xml:space="preserve">flexible to </w:t>
      </w:r>
      <w:r w:rsidR="00387514">
        <w:rPr>
          <w:rFonts w:cs="Arial"/>
        </w:rPr>
        <w:t xml:space="preserve">adapt </w:t>
      </w:r>
      <w:r w:rsidRPr="002544E2">
        <w:rPr>
          <w:rFonts w:cs="Arial"/>
        </w:rPr>
        <w:t xml:space="preserve">to changing social and regulatory expectations </w:t>
      </w:r>
      <w:r w:rsidR="00387514">
        <w:rPr>
          <w:rFonts w:cs="Arial"/>
        </w:rPr>
        <w:t xml:space="preserve">that may be </w:t>
      </w:r>
      <w:r w:rsidRPr="002544E2">
        <w:rPr>
          <w:rFonts w:cs="Arial"/>
        </w:rPr>
        <w:t xml:space="preserve">placed </w:t>
      </w:r>
      <w:r w:rsidR="00387514">
        <w:rPr>
          <w:rFonts w:cs="Arial"/>
        </w:rPr>
        <w:t xml:space="preserve">upon </w:t>
      </w:r>
      <w:r w:rsidRPr="002544E2">
        <w:rPr>
          <w:rFonts w:cs="Arial"/>
        </w:rPr>
        <w:t xml:space="preserve">them. To </w:t>
      </w:r>
      <w:r w:rsidR="00387514">
        <w:rPr>
          <w:rFonts w:cs="Arial"/>
        </w:rPr>
        <w:t xml:space="preserve">maintain </w:t>
      </w:r>
      <w:r w:rsidRPr="002544E2">
        <w:rPr>
          <w:rFonts w:cs="Arial"/>
        </w:rPr>
        <w:t>confidence</w:t>
      </w:r>
      <w:r w:rsidR="00387514">
        <w:rPr>
          <w:rFonts w:cs="Arial"/>
        </w:rPr>
        <w:t xml:space="preserve"> over time</w:t>
      </w:r>
      <w:r w:rsidRPr="002544E2">
        <w:rPr>
          <w:rFonts w:cs="Arial"/>
        </w:rPr>
        <w:t xml:space="preserve">, both the process </w:t>
      </w:r>
      <w:r w:rsidR="00387514">
        <w:rPr>
          <w:rFonts w:cs="Arial"/>
        </w:rPr>
        <w:t xml:space="preserve">and outputs </w:t>
      </w:r>
      <w:r w:rsidRPr="002544E2">
        <w:rPr>
          <w:rFonts w:cs="Arial"/>
        </w:rPr>
        <w:t>of monitoring will have to continue meeting different stakeholders’ expectations, while staying within the limits of what is scientifically sound</w:t>
      </w:r>
      <w:r w:rsidR="00387514">
        <w:rPr>
          <w:rFonts w:cs="Arial"/>
        </w:rPr>
        <w:t>,</w:t>
      </w:r>
      <w:r w:rsidRPr="002544E2">
        <w:rPr>
          <w:rFonts w:cs="Arial"/>
        </w:rPr>
        <w:t xml:space="preserve"> technically and financially feasible</w:t>
      </w:r>
      <w:r w:rsidR="00387514">
        <w:rPr>
          <w:rFonts w:cs="Arial"/>
        </w:rPr>
        <w:t>, and safe</w:t>
      </w:r>
      <w:r w:rsidRPr="002544E2">
        <w:rPr>
          <w:rFonts w:cs="Arial"/>
        </w:rPr>
        <w:t xml:space="preserve">. When developing and maintaining monitoring programmes, interaction with different types of stakeholders </w:t>
      </w:r>
      <w:r w:rsidR="00387514">
        <w:rPr>
          <w:rFonts w:cs="Arial"/>
        </w:rPr>
        <w:t>would seem to be essential</w:t>
      </w:r>
      <w:r w:rsidRPr="002544E2">
        <w:rPr>
          <w:rFonts w:cs="Arial"/>
        </w:rPr>
        <w:t xml:space="preserve">, in order to get these elements in balance. The weighing of these elements against each other is something that concerns society as a whole, and not </w:t>
      </w:r>
      <w:r w:rsidR="00387514">
        <w:rPr>
          <w:rFonts w:cs="Arial"/>
        </w:rPr>
        <w:t xml:space="preserve">therefore </w:t>
      </w:r>
      <w:r w:rsidRPr="002544E2">
        <w:rPr>
          <w:rFonts w:cs="Arial"/>
        </w:rPr>
        <w:t xml:space="preserve">something an implementer should do on its own; nor </w:t>
      </w:r>
      <w:r w:rsidR="00387514">
        <w:rPr>
          <w:rFonts w:cs="Arial"/>
        </w:rPr>
        <w:t xml:space="preserve">to </w:t>
      </w:r>
      <w:r w:rsidRPr="002544E2">
        <w:rPr>
          <w:rFonts w:cs="Arial"/>
        </w:rPr>
        <w:t>be left solely to technical regulatory decisions.</w:t>
      </w:r>
    </w:p>
    <w:p w:rsidR="00AE0425" w:rsidRDefault="00AE0425" w:rsidP="000B3782">
      <w:pPr>
        <w:rPr>
          <w:rFonts w:cs="Arial"/>
          <w:lang w:eastAsia="nl-BE"/>
        </w:rPr>
      </w:pPr>
    </w:p>
    <w:p w:rsidR="000B3782" w:rsidRPr="002544E2" w:rsidRDefault="000B3782" w:rsidP="000B3782">
      <w:pPr>
        <w:rPr>
          <w:rFonts w:cs="Arial"/>
          <w:lang w:eastAsia="nl-BE"/>
        </w:rPr>
      </w:pPr>
      <w:r>
        <w:rPr>
          <w:rFonts w:cs="Arial"/>
          <w:lang w:eastAsia="nl-BE"/>
        </w:rPr>
        <w:t xml:space="preserve">A </w:t>
      </w:r>
      <w:r w:rsidRPr="002544E2">
        <w:rPr>
          <w:rFonts w:cs="Arial"/>
          <w:lang w:eastAsia="nl-BE"/>
        </w:rPr>
        <w:t xml:space="preserve">fourth observation </w:t>
      </w:r>
      <w:r>
        <w:rPr>
          <w:rFonts w:cs="Arial"/>
          <w:lang w:eastAsia="nl-BE"/>
        </w:rPr>
        <w:t xml:space="preserve">is </w:t>
      </w:r>
      <w:r w:rsidRPr="002544E2">
        <w:rPr>
          <w:rFonts w:cs="Arial"/>
          <w:lang w:eastAsia="nl-BE"/>
        </w:rPr>
        <w:t>that</w:t>
      </w:r>
      <w:r>
        <w:rPr>
          <w:rFonts w:cs="Arial"/>
          <w:lang w:eastAsia="nl-BE"/>
        </w:rPr>
        <w:t>, in order to contribute to confidence building,</w:t>
      </w:r>
      <w:r w:rsidRPr="002544E2">
        <w:rPr>
          <w:rFonts w:cs="Arial"/>
          <w:lang w:eastAsia="nl-BE"/>
        </w:rPr>
        <w:t xml:space="preserve"> the process of monitoring </w:t>
      </w:r>
      <w:r w:rsidR="00387514">
        <w:rPr>
          <w:rFonts w:cs="Arial"/>
          <w:lang w:eastAsia="nl-BE"/>
        </w:rPr>
        <w:t xml:space="preserve">needs to </w:t>
      </w:r>
      <w:r w:rsidRPr="002544E2">
        <w:rPr>
          <w:rFonts w:cs="Arial"/>
          <w:lang w:eastAsia="nl-BE"/>
        </w:rPr>
        <w:t xml:space="preserve">be transparent and open </w:t>
      </w:r>
      <w:r w:rsidR="00387514">
        <w:rPr>
          <w:rFonts w:cs="Arial"/>
          <w:lang w:eastAsia="nl-BE"/>
        </w:rPr>
        <w:t xml:space="preserve">to </w:t>
      </w:r>
      <w:r w:rsidRPr="002544E2">
        <w:rPr>
          <w:rFonts w:cs="Arial"/>
          <w:lang w:eastAsia="nl-BE"/>
        </w:rPr>
        <w:t xml:space="preserve">public and expert scrutiny. </w:t>
      </w:r>
      <w:r>
        <w:rPr>
          <w:rFonts w:cs="Arial"/>
          <w:lang w:eastAsia="nl-BE"/>
        </w:rPr>
        <w:t>T</w:t>
      </w:r>
      <w:r w:rsidRPr="002544E2">
        <w:rPr>
          <w:rFonts w:cs="Arial"/>
          <w:lang w:eastAsia="nl-BE"/>
        </w:rPr>
        <w:t xml:space="preserve">his is not done merely </w:t>
      </w:r>
      <w:r>
        <w:rPr>
          <w:rFonts w:cs="Arial"/>
          <w:lang w:eastAsia="nl-BE"/>
        </w:rPr>
        <w:t xml:space="preserve">by </w:t>
      </w:r>
      <w:r w:rsidRPr="002544E2">
        <w:rPr>
          <w:rFonts w:cs="Arial"/>
          <w:lang w:eastAsia="nl-BE"/>
        </w:rPr>
        <w:t xml:space="preserve">producing data and </w:t>
      </w:r>
      <w:r w:rsidR="00763FCB">
        <w:rPr>
          <w:rFonts w:cs="Arial"/>
          <w:lang w:eastAsia="nl-BE"/>
        </w:rPr>
        <w:t xml:space="preserve">presenting them as evidence to </w:t>
      </w:r>
      <w:r w:rsidRPr="002544E2">
        <w:rPr>
          <w:rFonts w:cs="Arial"/>
          <w:lang w:eastAsia="nl-BE"/>
        </w:rPr>
        <w:t>corroborate experts’ models</w:t>
      </w:r>
      <w:r w:rsidR="00763FCB">
        <w:rPr>
          <w:rFonts w:cs="Arial"/>
          <w:lang w:eastAsia="nl-BE"/>
        </w:rPr>
        <w:t xml:space="preserve"> and validate their claims</w:t>
      </w:r>
      <w:r w:rsidRPr="002544E2">
        <w:rPr>
          <w:rFonts w:cs="Arial"/>
          <w:lang w:eastAsia="nl-BE"/>
        </w:rPr>
        <w:t>. What is as important (if not more</w:t>
      </w:r>
      <w:r>
        <w:rPr>
          <w:rFonts w:cs="Arial"/>
          <w:lang w:eastAsia="nl-BE"/>
        </w:rPr>
        <w:t xml:space="preserve"> so</w:t>
      </w:r>
      <w:r w:rsidRPr="002544E2">
        <w:rPr>
          <w:rFonts w:cs="Arial"/>
          <w:lang w:eastAsia="nl-BE"/>
        </w:rPr>
        <w:t xml:space="preserve">) is to produce these data in such a way that others have access to them and are able to verify how they came about. </w:t>
      </w:r>
      <w:r w:rsidR="00763FCB">
        <w:rPr>
          <w:rFonts w:cs="Arial"/>
          <w:lang w:eastAsia="nl-BE"/>
        </w:rPr>
        <w:t>T</w:t>
      </w:r>
      <w:r w:rsidRPr="002544E2">
        <w:rPr>
          <w:rFonts w:cs="Arial"/>
          <w:lang w:eastAsia="nl-BE"/>
        </w:rPr>
        <w:t xml:space="preserve">his </w:t>
      </w:r>
      <w:r w:rsidR="00763FCB">
        <w:rPr>
          <w:rFonts w:cs="Arial"/>
          <w:lang w:eastAsia="nl-BE"/>
        </w:rPr>
        <w:t xml:space="preserve">would require an appropriately designed and functioning </w:t>
      </w:r>
      <w:r w:rsidRPr="002544E2">
        <w:rPr>
          <w:rFonts w:cs="Arial"/>
          <w:lang w:eastAsia="nl-BE"/>
        </w:rPr>
        <w:t xml:space="preserve">institutional context </w:t>
      </w:r>
      <w:r w:rsidR="00763FCB">
        <w:rPr>
          <w:rFonts w:cs="Arial"/>
          <w:lang w:eastAsia="nl-BE"/>
        </w:rPr>
        <w:t xml:space="preserve">in </w:t>
      </w:r>
      <w:r w:rsidRPr="002544E2">
        <w:rPr>
          <w:rFonts w:cs="Arial"/>
          <w:lang w:eastAsia="nl-BE"/>
        </w:rPr>
        <w:t>which roles and responsibilities for long-term radioactive waste management are organised. Important components of such a context are:</w:t>
      </w:r>
    </w:p>
    <w:p w:rsidR="000B3782" w:rsidRPr="00305C3E" w:rsidRDefault="000B3782" w:rsidP="000B3782">
      <w:pPr>
        <w:pStyle w:val="Liststycke"/>
        <w:numPr>
          <w:ilvl w:val="0"/>
          <w:numId w:val="3"/>
        </w:numPr>
        <w:spacing w:line="240" w:lineRule="auto"/>
        <w:jc w:val="left"/>
        <w:rPr>
          <w:rFonts w:ascii="Arial" w:hAnsi="Arial" w:cs="Arial"/>
          <w:sz w:val="22"/>
          <w:szCs w:val="22"/>
          <w:lang w:eastAsia="nl-BE"/>
        </w:rPr>
      </w:pPr>
      <w:r w:rsidRPr="00305C3E">
        <w:rPr>
          <w:rFonts w:ascii="Arial" w:hAnsi="Arial" w:cs="Arial"/>
          <w:sz w:val="22"/>
          <w:szCs w:val="22"/>
          <w:lang w:eastAsia="nl-BE"/>
        </w:rPr>
        <w:t>A monitoring reference framework that recognise</w:t>
      </w:r>
      <w:r w:rsidR="00763FCB">
        <w:rPr>
          <w:rFonts w:ascii="Arial" w:hAnsi="Arial" w:cs="Arial"/>
          <w:sz w:val="22"/>
          <w:szCs w:val="22"/>
          <w:lang w:eastAsia="nl-BE"/>
        </w:rPr>
        <w:t>s</w:t>
      </w:r>
      <w:r w:rsidRPr="00305C3E">
        <w:rPr>
          <w:rFonts w:ascii="Arial" w:hAnsi="Arial" w:cs="Arial"/>
          <w:sz w:val="22"/>
          <w:szCs w:val="22"/>
          <w:lang w:eastAsia="nl-BE"/>
        </w:rPr>
        <w:t xml:space="preserve"> the role of monitoring as a tool for achieving transparency</w:t>
      </w:r>
      <w:r w:rsidR="00763FCB">
        <w:rPr>
          <w:rFonts w:ascii="Arial" w:hAnsi="Arial" w:cs="Arial"/>
          <w:sz w:val="22"/>
          <w:szCs w:val="22"/>
          <w:lang w:eastAsia="nl-BE"/>
        </w:rPr>
        <w:t>;</w:t>
      </w:r>
    </w:p>
    <w:p w:rsidR="000B3782" w:rsidRPr="002544E2" w:rsidRDefault="000B3782" w:rsidP="000B3782">
      <w:pPr>
        <w:pStyle w:val="Liststycke"/>
        <w:numPr>
          <w:ilvl w:val="0"/>
          <w:numId w:val="3"/>
        </w:numPr>
        <w:spacing w:line="240" w:lineRule="auto"/>
        <w:jc w:val="left"/>
        <w:rPr>
          <w:rFonts w:ascii="Arial" w:hAnsi="Arial" w:cs="Arial"/>
          <w:sz w:val="22"/>
          <w:szCs w:val="22"/>
          <w:lang w:eastAsia="nl-BE"/>
        </w:rPr>
      </w:pPr>
      <w:r w:rsidRPr="002544E2">
        <w:rPr>
          <w:rFonts w:ascii="Arial" w:hAnsi="Arial" w:cs="Arial"/>
          <w:sz w:val="22"/>
          <w:szCs w:val="22"/>
          <w:lang w:eastAsia="nl-BE"/>
        </w:rPr>
        <w:t xml:space="preserve">An independent regulator </w:t>
      </w:r>
      <w:r w:rsidR="00763FCB">
        <w:rPr>
          <w:rFonts w:ascii="Arial" w:hAnsi="Arial" w:cs="Arial"/>
          <w:sz w:val="22"/>
          <w:szCs w:val="22"/>
          <w:lang w:eastAsia="nl-BE"/>
        </w:rPr>
        <w:t xml:space="preserve">which </w:t>
      </w:r>
      <w:r w:rsidRPr="002544E2">
        <w:rPr>
          <w:rFonts w:ascii="Arial" w:hAnsi="Arial" w:cs="Arial"/>
          <w:sz w:val="22"/>
          <w:szCs w:val="22"/>
          <w:lang w:eastAsia="nl-BE"/>
        </w:rPr>
        <w:t>has the means to perform its role appropriately, has an excellent track record, and is itself open and transparent towards the public</w:t>
      </w:r>
      <w:r w:rsidR="00763FCB">
        <w:rPr>
          <w:rFonts w:ascii="Arial" w:hAnsi="Arial" w:cs="Arial"/>
          <w:sz w:val="22"/>
          <w:szCs w:val="22"/>
          <w:lang w:eastAsia="nl-BE"/>
        </w:rPr>
        <w:t>;</w:t>
      </w:r>
    </w:p>
    <w:p w:rsidR="000B3782" w:rsidRPr="00305C3E" w:rsidRDefault="000B3782" w:rsidP="000B3782">
      <w:pPr>
        <w:pStyle w:val="Liststycke"/>
        <w:numPr>
          <w:ilvl w:val="0"/>
          <w:numId w:val="3"/>
        </w:numPr>
        <w:spacing w:line="240" w:lineRule="auto"/>
        <w:jc w:val="left"/>
        <w:rPr>
          <w:rFonts w:ascii="Arial" w:hAnsi="Arial" w:cs="Arial"/>
          <w:sz w:val="22"/>
          <w:szCs w:val="22"/>
          <w:lang w:eastAsia="nl-BE"/>
        </w:rPr>
      </w:pPr>
      <w:r w:rsidRPr="00305C3E">
        <w:rPr>
          <w:rFonts w:ascii="Arial" w:hAnsi="Arial" w:cs="Arial"/>
          <w:sz w:val="22"/>
          <w:szCs w:val="22"/>
          <w:lang w:eastAsia="nl-BE"/>
        </w:rPr>
        <w:t>A system for ‘monitoring the monitor’ involving appropriate parties in the development, installation, and operation of monitoring devices and the analysis of their results. In some countries this may be a role performed by the regulator, but may also involve...</w:t>
      </w:r>
    </w:p>
    <w:p w:rsidR="000B3782" w:rsidRPr="002544E2" w:rsidRDefault="000B3782" w:rsidP="000B3782">
      <w:pPr>
        <w:pStyle w:val="Liststycke"/>
        <w:numPr>
          <w:ilvl w:val="0"/>
          <w:numId w:val="3"/>
        </w:numPr>
        <w:spacing w:line="240" w:lineRule="auto"/>
        <w:jc w:val="left"/>
        <w:rPr>
          <w:rFonts w:ascii="Arial" w:hAnsi="Arial" w:cs="Arial"/>
          <w:sz w:val="22"/>
          <w:szCs w:val="22"/>
          <w:lang w:eastAsia="nl-BE"/>
        </w:rPr>
      </w:pPr>
      <w:r w:rsidRPr="002544E2">
        <w:rPr>
          <w:rFonts w:ascii="Arial" w:hAnsi="Arial" w:cs="Arial"/>
          <w:sz w:val="22"/>
          <w:szCs w:val="22"/>
          <w:lang w:eastAsia="nl-BE"/>
        </w:rPr>
        <w:t>An independent oversight body at the central level</w:t>
      </w:r>
      <w:r w:rsidR="00763FCB">
        <w:rPr>
          <w:rFonts w:ascii="Arial" w:hAnsi="Arial" w:cs="Arial"/>
          <w:sz w:val="22"/>
          <w:szCs w:val="22"/>
          <w:lang w:eastAsia="nl-BE"/>
        </w:rPr>
        <w:t>;</w:t>
      </w:r>
    </w:p>
    <w:p w:rsidR="000B3782" w:rsidRPr="002544E2" w:rsidRDefault="000B3782" w:rsidP="000B3782">
      <w:pPr>
        <w:pStyle w:val="Liststycke"/>
        <w:numPr>
          <w:ilvl w:val="0"/>
          <w:numId w:val="3"/>
        </w:numPr>
        <w:spacing w:line="240" w:lineRule="auto"/>
        <w:ind w:left="714" w:hanging="357"/>
        <w:contextualSpacing w:val="0"/>
        <w:jc w:val="left"/>
        <w:rPr>
          <w:rFonts w:ascii="Arial" w:hAnsi="Arial" w:cs="Arial"/>
          <w:sz w:val="22"/>
          <w:szCs w:val="22"/>
          <w:lang w:eastAsia="nl-BE"/>
        </w:rPr>
      </w:pPr>
      <w:r w:rsidRPr="002544E2">
        <w:rPr>
          <w:rFonts w:ascii="Arial" w:hAnsi="Arial" w:cs="Arial"/>
          <w:sz w:val="22"/>
          <w:szCs w:val="22"/>
          <w:lang w:eastAsia="nl-BE"/>
        </w:rPr>
        <w:t xml:space="preserve">Empowerment measures to </w:t>
      </w:r>
      <w:r w:rsidR="00305C3E">
        <w:rPr>
          <w:rFonts w:ascii="Arial" w:hAnsi="Arial" w:cs="Arial"/>
          <w:sz w:val="22"/>
          <w:szCs w:val="22"/>
          <w:lang w:eastAsia="nl-BE"/>
        </w:rPr>
        <w:t xml:space="preserve">enable </w:t>
      </w:r>
      <w:r w:rsidRPr="002544E2">
        <w:rPr>
          <w:rFonts w:ascii="Arial" w:hAnsi="Arial" w:cs="Arial"/>
          <w:sz w:val="22"/>
          <w:szCs w:val="22"/>
          <w:lang w:eastAsia="nl-BE"/>
        </w:rPr>
        <w:t xml:space="preserve">concerned stakeholders at the local level </w:t>
      </w:r>
      <w:r w:rsidR="00305C3E">
        <w:rPr>
          <w:rFonts w:ascii="Arial" w:hAnsi="Arial" w:cs="Arial"/>
          <w:sz w:val="22"/>
          <w:szCs w:val="22"/>
          <w:lang w:eastAsia="nl-BE"/>
        </w:rPr>
        <w:t xml:space="preserve">to engage with </w:t>
      </w:r>
      <w:r w:rsidRPr="002544E2">
        <w:rPr>
          <w:rFonts w:ascii="Arial" w:hAnsi="Arial" w:cs="Arial"/>
          <w:sz w:val="22"/>
          <w:szCs w:val="22"/>
          <w:lang w:eastAsia="nl-BE"/>
        </w:rPr>
        <w:t xml:space="preserve">monitoring activity, either through direct active </w:t>
      </w:r>
      <w:r w:rsidR="00305C3E">
        <w:rPr>
          <w:rFonts w:ascii="Arial" w:hAnsi="Arial" w:cs="Arial"/>
          <w:sz w:val="22"/>
          <w:szCs w:val="22"/>
          <w:lang w:eastAsia="nl-BE"/>
        </w:rPr>
        <w:t xml:space="preserve">involvement </w:t>
      </w:r>
      <w:r w:rsidRPr="002544E2">
        <w:rPr>
          <w:rFonts w:ascii="Arial" w:hAnsi="Arial" w:cs="Arial"/>
          <w:sz w:val="22"/>
          <w:szCs w:val="22"/>
          <w:lang w:eastAsia="nl-BE"/>
        </w:rPr>
        <w:t>(for example</w:t>
      </w:r>
      <w:r w:rsidR="00305C3E">
        <w:rPr>
          <w:rFonts w:ascii="Arial" w:hAnsi="Arial" w:cs="Arial"/>
          <w:sz w:val="22"/>
          <w:szCs w:val="22"/>
          <w:lang w:eastAsia="nl-BE"/>
        </w:rPr>
        <w:t>, in</w:t>
      </w:r>
      <w:r w:rsidRPr="002544E2">
        <w:rPr>
          <w:rFonts w:ascii="Arial" w:hAnsi="Arial" w:cs="Arial"/>
          <w:sz w:val="22"/>
          <w:szCs w:val="22"/>
          <w:lang w:eastAsia="nl-BE"/>
        </w:rPr>
        <w:t xml:space="preserve"> environmental monitoring), or through the involvement of external experts of their choosing.</w:t>
      </w:r>
    </w:p>
    <w:p w:rsidR="000B3782" w:rsidRPr="002544E2" w:rsidRDefault="00763FCB" w:rsidP="000B3782">
      <w:pPr>
        <w:pStyle w:val="Liststycke"/>
        <w:spacing w:line="240" w:lineRule="auto"/>
        <w:ind w:left="0"/>
        <w:contextualSpacing w:val="0"/>
        <w:jc w:val="left"/>
        <w:rPr>
          <w:rFonts w:ascii="Arial" w:hAnsi="Arial" w:cs="Arial"/>
          <w:sz w:val="22"/>
          <w:szCs w:val="22"/>
          <w:lang w:eastAsia="nl-BE"/>
        </w:rPr>
      </w:pPr>
      <w:r>
        <w:rPr>
          <w:rFonts w:ascii="Arial" w:hAnsi="Arial" w:cs="Arial"/>
          <w:sz w:val="22"/>
          <w:szCs w:val="22"/>
        </w:rPr>
        <w:t xml:space="preserve">Existing social science research suggests that </w:t>
      </w:r>
      <w:r w:rsidR="000B3782" w:rsidRPr="002544E2">
        <w:rPr>
          <w:rFonts w:ascii="Arial" w:hAnsi="Arial" w:cs="Arial"/>
          <w:sz w:val="22"/>
          <w:szCs w:val="22"/>
        </w:rPr>
        <w:t>an institutional context</w:t>
      </w:r>
      <w:r>
        <w:rPr>
          <w:rFonts w:ascii="Arial" w:hAnsi="Arial" w:cs="Arial"/>
          <w:sz w:val="22"/>
          <w:szCs w:val="22"/>
        </w:rPr>
        <w:t xml:space="preserve"> with these characteristics</w:t>
      </w:r>
      <w:r w:rsidR="000B3782" w:rsidRPr="002544E2">
        <w:rPr>
          <w:rFonts w:ascii="Arial" w:hAnsi="Arial" w:cs="Arial"/>
          <w:sz w:val="22"/>
          <w:szCs w:val="22"/>
        </w:rPr>
        <w:t xml:space="preserve">, promoting transparency and scrutiny, is </w:t>
      </w:r>
      <w:r>
        <w:rPr>
          <w:rFonts w:ascii="Arial" w:hAnsi="Arial" w:cs="Arial"/>
          <w:sz w:val="22"/>
          <w:szCs w:val="22"/>
        </w:rPr>
        <w:t xml:space="preserve">likely to contribute significantly to building and maintaining societal </w:t>
      </w:r>
      <w:r w:rsidR="000B3782" w:rsidRPr="002544E2">
        <w:rPr>
          <w:rFonts w:ascii="Arial" w:hAnsi="Arial" w:cs="Arial"/>
          <w:sz w:val="22"/>
          <w:szCs w:val="22"/>
        </w:rPr>
        <w:t>confidence.</w:t>
      </w:r>
    </w:p>
    <w:p w:rsidR="00A353E2" w:rsidRDefault="00A353E2" w:rsidP="000B3782">
      <w:pPr>
        <w:rPr>
          <w:rFonts w:cs="Arial"/>
        </w:rPr>
      </w:pPr>
    </w:p>
    <w:p w:rsidR="008D347F" w:rsidRPr="00A05220" w:rsidRDefault="008D347F" w:rsidP="00C41EEE">
      <w:pPr>
        <w:rPr>
          <w:rFonts w:cs="Arial"/>
          <w:b/>
          <w:lang w:val="en-GB"/>
        </w:rPr>
      </w:pPr>
      <w:r w:rsidRPr="00A05220">
        <w:rPr>
          <w:rFonts w:cs="Arial"/>
          <w:b/>
          <w:lang w:val="en-GB"/>
        </w:rPr>
        <w:t>REFERENCES</w:t>
      </w:r>
    </w:p>
    <w:p w:rsidR="008D347F" w:rsidRDefault="008D347F" w:rsidP="00C41EEE">
      <w:pPr>
        <w:rPr>
          <w:rFonts w:cs="Arial"/>
          <w:lang w:val="en-GB"/>
        </w:rPr>
      </w:pPr>
    </w:p>
    <w:p w:rsidR="0042799A" w:rsidRPr="0042799A" w:rsidRDefault="0042799A" w:rsidP="00305C3E">
      <w:pPr>
        <w:pStyle w:val="ListParagraph"/>
        <w:numPr>
          <w:ilvl w:val="0"/>
          <w:numId w:val="4"/>
        </w:numPr>
        <w:ind w:left="340"/>
        <w:rPr>
          <w:rFonts w:cs="Arial"/>
          <w:lang w:val="en-GB"/>
        </w:rPr>
      </w:pPr>
      <w:r>
        <w:t xml:space="preserve">IAEA (2001) </w:t>
      </w:r>
      <w:r w:rsidRPr="00C51011">
        <w:rPr>
          <w:i/>
        </w:rPr>
        <w:t>Monitoring of geological repositories for high level radioactive waste.</w:t>
      </w:r>
      <w:r>
        <w:t xml:space="preserve"> IAEA-TECDOC-1208, Vienna: International Atomic Energy Agency.</w:t>
      </w:r>
    </w:p>
    <w:p w:rsidR="008D347F" w:rsidRPr="00726CB1" w:rsidRDefault="008D347F" w:rsidP="00305C3E">
      <w:pPr>
        <w:pStyle w:val="ListParagraph"/>
        <w:numPr>
          <w:ilvl w:val="0"/>
          <w:numId w:val="4"/>
        </w:numPr>
        <w:ind w:left="340"/>
        <w:rPr>
          <w:rFonts w:cs="Arial"/>
          <w:lang w:val="en-GB"/>
        </w:rPr>
      </w:pPr>
      <w:r>
        <w:t xml:space="preserve">IAEA (2006) </w:t>
      </w:r>
      <w:r w:rsidRPr="00F60A8A">
        <w:rPr>
          <w:i/>
        </w:rPr>
        <w:t>Geological Disposal of Radioactive Waste.</w:t>
      </w:r>
      <w:r>
        <w:t xml:space="preserve"> IAEA Safety Standards: Safety Requirements No.WS-R-4, Vienna: International Atomic Energy Agency.</w:t>
      </w:r>
    </w:p>
    <w:p w:rsidR="00726CB1" w:rsidRPr="008D3E62" w:rsidRDefault="00726CB1" w:rsidP="00305C3E">
      <w:pPr>
        <w:pStyle w:val="ListParagraph"/>
        <w:numPr>
          <w:ilvl w:val="0"/>
          <w:numId w:val="4"/>
        </w:numPr>
        <w:ind w:left="340"/>
        <w:rPr>
          <w:rFonts w:cs="Arial"/>
          <w:lang w:val="en-GB"/>
        </w:rPr>
      </w:pPr>
      <w:r>
        <w:rPr>
          <w:rFonts w:cs="Arial"/>
          <w:szCs w:val="24"/>
          <w:lang w:eastAsia="en-GB"/>
        </w:rPr>
        <w:t xml:space="preserve">Nirex, ANDRA, DBE, ENRESA, NAGRA, NRG, ONDRAF/NIRAS, Posiva, RAWRA, SCK/CEN, SKB and SAM (2004). </w:t>
      </w:r>
      <w:r w:rsidRPr="00726CB1">
        <w:rPr>
          <w:rFonts w:cs="Arial"/>
          <w:i/>
          <w:szCs w:val="24"/>
          <w:lang w:eastAsia="en-GB"/>
        </w:rPr>
        <w:t>Thematic Network on the role of monitoring in a phased approach to geological disposal of radioactive waste</w:t>
      </w:r>
      <w:r>
        <w:rPr>
          <w:rFonts w:cs="Arial"/>
          <w:szCs w:val="24"/>
          <w:lang w:eastAsia="en-GB"/>
        </w:rPr>
        <w:t xml:space="preserve">. </w:t>
      </w:r>
      <w:r w:rsidRPr="00726CB1">
        <w:rPr>
          <w:rFonts w:cs="Arial"/>
          <w:bCs/>
          <w:szCs w:val="24"/>
          <w:lang w:eastAsia="en-GB"/>
        </w:rPr>
        <w:t>Final report.</w:t>
      </w:r>
      <w:r>
        <w:rPr>
          <w:rFonts w:cs="Arial"/>
          <w:b/>
          <w:bCs/>
          <w:szCs w:val="24"/>
          <w:lang w:eastAsia="en-GB"/>
        </w:rPr>
        <w:t xml:space="preserve"> </w:t>
      </w:r>
      <w:r>
        <w:rPr>
          <w:rFonts w:cs="Arial"/>
          <w:sz w:val="24"/>
          <w:szCs w:val="24"/>
          <w:lang w:val="en-GB"/>
        </w:rPr>
        <w:t xml:space="preserve">EUR 21025 EN. </w:t>
      </w:r>
      <w:r>
        <w:rPr>
          <w:rFonts w:cs="Arial"/>
          <w:szCs w:val="24"/>
          <w:lang w:eastAsia="en-GB"/>
        </w:rPr>
        <w:t>Brussels</w:t>
      </w:r>
      <w:r w:rsidR="00005D90">
        <w:rPr>
          <w:rFonts w:cs="Arial"/>
          <w:szCs w:val="24"/>
          <w:lang w:eastAsia="en-GB"/>
        </w:rPr>
        <w:t>:</w:t>
      </w:r>
      <w:r>
        <w:rPr>
          <w:rFonts w:cs="Arial"/>
          <w:szCs w:val="24"/>
          <w:lang w:eastAsia="en-GB"/>
        </w:rPr>
        <w:t xml:space="preserve"> European Commission</w:t>
      </w:r>
      <w:r>
        <w:rPr>
          <w:rFonts w:cs="Arial"/>
          <w:b/>
          <w:bCs/>
          <w:szCs w:val="24"/>
          <w:lang w:eastAsia="en-GB"/>
        </w:rPr>
        <w:t>.</w:t>
      </w:r>
    </w:p>
    <w:p w:rsidR="008D3E62" w:rsidRPr="008D3E62" w:rsidRDefault="008D3E62" w:rsidP="00305C3E">
      <w:pPr>
        <w:pStyle w:val="ListParagraph"/>
        <w:numPr>
          <w:ilvl w:val="0"/>
          <w:numId w:val="4"/>
        </w:numPr>
        <w:ind w:left="340"/>
        <w:rPr>
          <w:rFonts w:cs="Arial"/>
          <w:lang w:val="en-GB"/>
        </w:rPr>
      </w:pPr>
      <w:r w:rsidRPr="00D2640D">
        <w:t xml:space="preserve">Weinberg, Alvin (1971/1992) ‘Social </w:t>
      </w:r>
      <w:r w:rsidR="006A1409">
        <w:t>i</w:t>
      </w:r>
      <w:r w:rsidRPr="00D2640D">
        <w:t xml:space="preserve">nstitutions and </w:t>
      </w:r>
      <w:r w:rsidR="006A1409">
        <w:t>n</w:t>
      </w:r>
      <w:r w:rsidRPr="00D2640D">
        <w:t xml:space="preserve">uclear </w:t>
      </w:r>
      <w:r w:rsidR="006A1409">
        <w:t>e</w:t>
      </w:r>
      <w:r w:rsidRPr="00D2640D">
        <w:t xml:space="preserve">nergy’ in </w:t>
      </w:r>
      <w:r w:rsidRPr="00D2640D">
        <w:rPr>
          <w:i/>
        </w:rPr>
        <w:t>Nuclear Reactions: Science and Trans-Science</w:t>
      </w:r>
      <w:r w:rsidRPr="00D2640D">
        <w:t>. New York: American Institute of Physics.</w:t>
      </w:r>
    </w:p>
    <w:p w:rsidR="006A1409" w:rsidRPr="00A075E0" w:rsidRDefault="006A1409" w:rsidP="00305C3E">
      <w:pPr>
        <w:pStyle w:val="ListParagraph"/>
        <w:numPr>
          <w:ilvl w:val="0"/>
          <w:numId w:val="4"/>
        </w:numPr>
        <w:ind w:left="340"/>
        <w:rPr>
          <w:rFonts w:cs="Arial"/>
          <w:lang w:val="en-GB"/>
        </w:rPr>
      </w:pPr>
      <w:r>
        <w:rPr>
          <w:rFonts w:cs="Arial"/>
          <w:szCs w:val="24"/>
          <w:lang w:eastAsia="en-GB"/>
        </w:rPr>
        <w:lastRenderedPageBreak/>
        <w:t>Freudenburg, W</w:t>
      </w:r>
      <w:r w:rsidR="00A075E0">
        <w:rPr>
          <w:rFonts w:cs="Arial"/>
          <w:szCs w:val="24"/>
          <w:lang w:eastAsia="en-GB"/>
        </w:rPr>
        <w:t>.</w:t>
      </w:r>
      <w:r w:rsidR="000077B7">
        <w:rPr>
          <w:rFonts w:cs="Arial"/>
          <w:szCs w:val="24"/>
          <w:lang w:eastAsia="en-GB"/>
        </w:rPr>
        <w:t xml:space="preserve">R. (1993) </w:t>
      </w:r>
      <w:r>
        <w:rPr>
          <w:rFonts w:cs="Arial"/>
          <w:szCs w:val="24"/>
          <w:lang w:eastAsia="en-GB"/>
        </w:rPr>
        <w:t>Risk and recreancy: Weber, the division of labour, and the rationality of risk p</w:t>
      </w:r>
      <w:r w:rsidR="000077B7">
        <w:rPr>
          <w:rFonts w:cs="Arial"/>
          <w:szCs w:val="24"/>
          <w:lang w:eastAsia="en-GB"/>
        </w:rPr>
        <w:t>erceptions,</w:t>
      </w:r>
      <w:r>
        <w:rPr>
          <w:rFonts w:cs="Arial"/>
          <w:szCs w:val="24"/>
          <w:lang w:eastAsia="en-GB"/>
        </w:rPr>
        <w:t xml:space="preserve"> </w:t>
      </w:r>
      <w:r w:rsidRPr="00AA3A87">
        <w:rPr>
          <w:rFonts w:cs="Arial"/>
          <w:i/>
          <w:szCs w:val="24"/>
          <w:lang w:eastAsia="en-GB"/>
        </w:rPr>
        <w:t>Social Forces</w:t>
      </w:r>
      <w:r>
        <w:rPr>
          <w:rFonts w:cs="Arial"/>
          <w:szCs w:val="24"/>
          <w:lang w:eastAsia="en-GB"/>
        </w:rPr>
        <w:t xml:space="preserve"> </w:t>
      </w:r>
      <w:r>
        <w:rPr>
          <w:rFonts w:cs="Arial"/>
          <w:b/>
          <w:bCs/>
          <w:szCs w:val="24"/>
          <w:lang w:eastAsia="en-GB"/>
        </w:rPr>
        <w:t>71</w:t>
      </w:r>
      <w:r>
        <w:rPr>
          <w:rFonts w:cs="Arial"/>
          <w:szCs w:val="24"/>
          <w:lang w:eastAsia="en-GB"/>
        </w:rPr>
        <w:t>(4): 909-932.</w:t>
      </w:r>
    </w:p>
    <w:p w:rsidR="00A075E0" w:rsidRPr="006A1409" w:rsidRDefault="00A075E0" w:rsidP="00305C3E">
      <w:pPr>
        <w:pStyle w:val="ListParagraph"/>
        <w:numPr>
          <w:ilvl w:val="0"/>
          <w:numId w:val="4"/>
        </w:numPr>
        <w:ind w:left="340"/>
        <w:rPr>
          <w:rFonts w:cs="Arial"/>
          <w:lang w:val="en-GB"/>
        </w:rPr>
      </w:pPr>
      <w:r w:rsidRPr="00C20094">
        <w:t>Freudenburg, W.R.</w:t>
      </w:r>
      <w:r>
        <w:t xml:space="preserve"> </w:t>
      </w:r>
      <w:r w:rsidR="00013177">
        <w:t>(</w:t>
      </w:r>
      <w:r>
        <w:rPr>
          <w:rStyle w:val="nlmyear"/>
        </w:rPr>
        <w:t>1992</w:t>
      </w:r>
      <w:r w:rsidR="00013177">
        <w:rPr>
          <w:rStyle w:val="nlmyear"/>
        </w:rPr>
        <w:t>)</w:t>
      </w:r>
      <w:r>
        <w:t xml:space="preserve"> Nothing Recedes Like Success? Risk Analysis and the Organizational Amplification of Risks, </w:t>
      </w:r>
      <w:r>
        <w:rPr>
          <w:i/>
          <w:iCs/>
        </w:rPr>
        <w:t>Risk: Issues in Health &amp; Safety</w:t>
      </w:r>
      <w:r>
        <w:t>, 3(1): 1–35.</w:t>
      </w:r>
    </w:p>
    <w:p w:rsidR="000077B7" w:rsidRPr="00EA71BB" w:rsidRDefault="000077B7" w:rsidP="00305C3E">
      <w:pPr>
        <w:pStyle w:val="ListParagraph"/>
        <w:numPr>
          <w:ilvl w:val="0"/>
          <w:numId w:val="4"/>
        </w:numPr>
        <w:ind w:left="340"/>
        <w:rPr>
          <w:rFonts w:cs="Arial"/>
          <w:lang w:val="en-GB"/>
        </w:rPr>
      </w:pPr>
      <w:r>
        <w:rPr>
          <w:rFonts w:cs="Arial"/>
          <w:szCs w:val="24"/>
          <w:lang w:eastAsia="en-GB"/>
        </w:rPr>
        <w:t xml:space="preserve">Sjöberg, Lennart (2001). Limits of knowledge and the limited importance of trust, </w:t>
      </w:r>
      <w:r w:rsidRPr="00141B2D">
        <w:rPr>
          <w:rFonts w:cs="Arial"/>
          <w:i/>
          <w:szCs w:val="24"/>
          <w:lang w:eastAsia="en-GB"/>
        </w:rPr>
        <w:t>Risk Analysis</w:t>
      </w:r>
      <w:r w:rsidRPr="00141B2D">
        <w:rPr>
          <w:rFonts w:cs="Arial"/>
          <w:szCs w:val="24"/>
          <w:lang w:eastAsia="en-GB"/>
        </w:rPr>
        <w:t xml:space="preserve"> </w:t>
      </w:r>
      <w:r w:rsidRPr="00141B2D">
        <w:rPr>
          <w:rFonts w:cs="Arial"/>
          <w:bCs/>
          <w:szCs w:val="24"/>
          <w:lang w:eastAsia="en-GB"/>
        </w:rPr>
        <w:t>21</w:t>
      </w:r>
      <w:r>
        <w:rPr>
          <w:rFonts w:cs="Arial"/>
          <w:szCs w:val="24"/>
          <w:lang w:eastAsia="en-GB"/>
        </w:rPr>
        <w:t>(1): 189-198.</w:t>
      </w:r>
    </w:p>
    <w:p w:rsidR="00EA71BB" w:rsidRPr="00A353E2" w:rsidRDefault="00EA71BB" w:rsidP="00305C3E">
      <w:pPr>
        <w:pStyle w:val="ListParagraph"/>
        <w:numPr>
          <w:ilvl w:val="0"/>
          <w:numId w:val="4"/>
        </w:numPr>
        <w:ind w:left="340"/>
        <w:rPr>
          <w:rFonts w:cs="Arial"/>
          <w:lang w:val="en-GB"/>
        </w:rPr>
      </w:pPr>
      <w:r>
        <w:rPr>
          <w:rFonts w:cs="Arial"/>
          <w:szCs w:val="24"/>
          <w:lang w:eastAsia="en-GB"/>
        </w:rPr>
        <w:t xml:space="preserve">Sundqvist, Göran (1995) Risk and Nuclear Waste - a Study of the Experts in Modern Society, </w:t>
      </w:r>
      <w:r w:rsidRPr="00223B86">
        <w:rPr>
          <w:rFonts w:cs="Arial"/>
          <w:i/>
          <w:szCs w:val="24"/>
          <w:lang w:eastAsia="en-GB"/>
        </w:rPr>
        <w:t>Sociologisk Forskning</w:t>
      </w:r>
      <w:r>
        <w:rPr>
          <w:rFonts w:cs="Arial"/>
          <w:szCs w:val="24"/>
          <w:lang w:eastAsia="en-GB"/>
        </w:rPr>
        <w:t xml:space="preserve"> </w:t>
      </w:r>
      <w:r w:rsidRPr="00223B86">
        <w:rPr>
          <w:rFonts w:cs="Arial"/>
          <w:bCs/>
          <w:szCs w:val="24"/>
          <w:lang w:eastAsia="en-GB"/>
        </w:rPr>
        <w:t>32</w:t>
      </w:r>
      <w:r>
        <w:rPr>
          <w:rFonts w:cs="Arial"/>
          <w:szCs w:val="24"/>
          <w:lang w:eastAsia="en-GB"/>
        </w:rPr>
        <w:t>(2): 37-63.</w:t>
      </w:r>
    </w:p>
    <w:p w:rsidR="006A5095" w:rsidRPr="006A5095" w:rsidRDefault="006A5095" w:rsidP="00305C3E">
      <w:pPr>
        <w:pStyle w:val="ListParagraph"/>
        <w:numPr>
          <w:ilvl w:val="0"/>
          <w:numId w:val="4"/>
        </w:numPr>
        <w:ind w:left="340"/>
        <w:rPr>
          <w:rFonts w:cs="Arial"/>
          <w:lang w:val="en-GB"/>
        </w:rPr>
      </w:pPr>
      <w:r>
        <w:rPr>
          <w:rFonts w:cs="Arial"/>
          <w:lang w:eastAsia="en-GB"/>
        </w:rPr>
        <w:t xml:space="preserve">EC (2008) Special Eurobarometer 297 </w:t>
      </w:r>
      <w:r>
        <w:rPr>
          <w:rFonts w:cs="Arial"/>
          <w:i/>
          <w:lang w:eastAsia="en-GB"/>
        </w:rPr>
        <w:t>Attitudes towards Radioactive Waste</w:t>
      </w:r>
      <w:r>
        <w:rPr>
          <w:rFonts w:cs="Arial"/>
          <w:lang w:eastAsia="en-GB"/>
        </w:rPr>
        <w:t>, Brussels: European Commission.</w:t>
      </w:r>
    </w:p>
    <w:p w:rsidR="00A353E2" w:rsidRPr="000077B7" w:rsidRDefault="00A353E2" w:rsidP="00305C3E">
      <w:pPr>
        <w:pStyle w:val="ListParagraph"/>
        <w:numPr>
          <w:ilvl w:val="0"/>
          <w:numId w:val="4"/>
        </w:numPr>
        <w:ind w:left="340"/>
        <w:rPr>
          <w:rFonts w:cs="Arial"/>
          <w:lang w:val="en-GB"/>
        </w:rPr>
      </w:pPr>
      <w:r>
        <w:rPr>
          <w:rFonts w:cs="Arial"/>
          <w:lang w:eastAsia="en-GB"/>
        </w:rPr>
        <w:t xml:space="preserve">EC (2005) Special Eurobarometer 224 </w:t>
      </w:r>
      <w:r w:rsidRPr="00400B6F">
        <w:rPr>
          <w:rFonts w:cs="Arial"/>
          <w:i/>
          <w:lang w:eastAsia="en-GB"/>
        </w:rPr>
        <w:t xml:space="preserve">Science </w:t>
      </w:r>
      <w:r>
        <w:rPr>
          <w:rFonts w:cs="Arial"/>
          <w:i/>
          <w:lang w:eastAsia="en-GB"/>
        </w:rPr>
        <w:t>and</w:t>
      </w:r>
      <w:r w:rsidRPr="00400B6F">
        <w:rPr>
          <w:rFonts w:cs="Arial"/>
          <w:i/>
          <w:lang w:eastAsia="en-GB"/>
        </w:rPr>
        <w:t xml:space="preserve"> Technology</w:t>
      </w:r>
      <w:r>
        <w:rPr>
          <w:rFonts w:cs="Arial"/>
          <w:lang w:eastAsia="en-GB"/>
        </w:rPr>
        <w:t>, Brussels: European Commission.</w:t>
      </w:r>
    </w:p>
    <w:p w:rsidR="008D3E62" w:rsidRPr="00F60A8A" w:rsidRDefault="008D3E62" w:rsidP="00305C3E">
      <w:pPr>
        <w:pStyle w:val="ListParagraph"/>
        <w:numPr>
          <w:ilvl w:val="0"/>
          <w:numId w:val="4"/>
        </w:numPr>
        <w:ind w:left="340"/>
        <w:rPr>
          <w:rFonts w:cs="Arial"/>
          <w:lang w:val="en-GB"/>
        </w:rPr>
      </w:pPr>
      <w:r>
        <w:t>Simmons, Peter</w:t>
      </w:r>
      <w:r w:rsidRPr="00C93874">
        <w:t xml:space="preserve"> and Wynne, B</w:t>
      </w:r>
      <w:r>
        <w:t>rian</w:t>
      </w:r>
      <w:r w:rsidR="000077B7">
        <w:t xml:space="preserve"> (1993) </w:t>
      </w:r>
      <w:r w:rsidRPr="00C93874">
        <w:t>Responsible Care: trust, credibilit</w:t>
      </w:r>
      <w:r w:rsidR="000077B7">
        <w:t>y and environmental management, i</w:t>
      </w:r>
      <w:r w:rsidRPr="00C93874">
        <w:t xml:space="preserve">n J. Schot &amp; K. Fischer (Eds.). </w:t>
      </w:r>
      <w:r w:rsidRPr="00C93874">
        <w:rPr>
          <w:i/>
        </w:rPr>
        <w:t>Environmental Strategies for Industry: International Perspectives on Research Needs and Policy Implications</w:t>
      </w:r>
      <w:r w:rsidRPr="00C93874">
        <w:t xml:space="preserve">. </w:t>
      </w:r>
      <w:smartTag w:uri="urn:schemas-microsoft-com:office:smarttags" w:element="State">
        <w:smartTag w:uri="urn:schemas-microsoft-com:office:smarttags" w:element="place">
          <w:r w:rsidRPr="00C93874">
            <w:t>Washington</w:t>
          </w:r>
        </w:smartTag>
      </w:smartTag>
      <w:r w:rsidRPr="00C93874">
        <w:t xml:space="preserve">: </w:t>
      </w:r>
      <w:smartTag w:uri="urn:schemas-microsoft-com:office:smarttags" w:element="place">
        <w:r w:rsidRPr="00C93874">
          <w:t>Island</w:t>
        </w:r>
      </w:smartTag>
      <w:r w:rsidRPr="00C93874">
        <w:t xml:space="preserve"> Press.</w:t>
      </w:r>
    </w:p>
    <w:p w:rsidR="008D347F" w:rsidRPr="00F60A8A" w:rsidRDefault="008D347F" w:rsidP="00305C3E">
      <w:pPr>
        <w:pStyle w:val="ListParagraph"/>
        <w:numPr>
          <w:ilvl w:val="0"/>
          <w:numId w:val="4"/>
        </w:numPr>
        <w:ind w:left="340"/>
        <w:rPr>
          <w:rFonts w:cs="Arial"/>
          <w:lang w:val="en-GB"/>
        </w:rPr>
      </w:pPr>
      <w:r>
        <w:t>Jasanoff, Sheila (2003) Tec</w:t>
      </w:r>
      <w:r w:rsidR="006A1409">
        <w:t>hnologies of humility: citizen p</w:t>
      </w:r>
      <w:r>
        <w:t xml:space="preserve">articipation in </w:t>
      </w:r>
      <w:r w:rsidR="006A1409">
        <w:t>g</w:t>
      </w:r>
      <w:r>
        <w:t xml:space="preserve">overning </w:t>
      </w:r>
      <w:r w:rsidR="006A1409">
        <w:t>s</w:t>
      </w:r>
      <w:r>
        <w:t xml:space="preserve">cience, </w:t>
      </w:r>
      <w:r w:rsidRPr="00F60A8A">
        <w:rPr>
          <w:i/>
        </w:rPr>
        <w:t>Minerva</w:t>
      </w:r>
      <w:r>
        <w:t xml:space="preserve"> </w:t>
      </w:r>
      <w:r w:rsidRPr="00F60A8A">
        <w:rPr>
          <w:b/>
          <w:bCs/>
        </w:rPr>
        <w:t>41</w:t>
      </w:r>
      <w:r>
        <w:t>(3): 223-244.</w:t>
      </w:r>
    </w:p>
    <w:p w:rsidR="006A1409" w:rsidRDefault="006A1409" w:rsidP="00C41EEE">
      <w:pPr>
        <w:rPr>
          <w:rFonts w:cs="Arial"/>
          <w:lang w:val="en-GB"/>
        </w:rPr>
      </w:pPr>
    </w:p>
    <w:p w:rsidR="006135CB" w:rsidRPr="00E51A19" w:rsidRDefault="006135CB" w:rsidP="00C41EEE">
      <w:pPr>
        <w:rPr>
          <w:rFonts w:cs="Arial"/>
          <w:b/>
          <w:lang w:val="en-GB"/>
        </w:rPr>
      </w:pPr>
      <w:r w:rsidRPr="00E51A19">
        <w:rPr>
          <w:rFonts w:cs="Arial"/>
          <w:b/>
          <w:lang w:val="en-GB"/>
        </w:rPr>
        <w:t>ACKNOWLEDGEMENTS</w:t>
      </w:r>
    </w:p>
    <w:p w:rsidR="001F6AD4" w:rsidRPr="006061EE" w:rsidRDefault="001F6AD4" w:rsidP="00C41EEE">
      <w:pPr>
        <w:rPr>
          <w:rFonts w:cs="Arial"/>
          <w:lang w:val="en-GB"/>
        </w:rPr>
      </w:pPr>
    </w:p>
    <w:p w:rsidR="006135CB" w:rsidRPr="006061EE" w:rsidRDefault="006135CB" w:rsidP="00C41EEE">
      <w:pPr>
        <w:rPr>
          <w:rFonts w:cs="Arial"/>
          <w:lang w:val="en-GB"/>
        </w:rPr>
      </w:pPr>
      <w:r w:rsidRPr="006061EE">
        <w:rPr>
          <w:rFonts w:cs="Arial"/>
          <w:lang w:val="en-GB"/>
        </w:rPr>
        <w:t xml:space="preserve">The research </w:t>
      </w:r>
      <w:r w:rsidR="000D0937">
        <w:rPr>
          <w:rFonts w:cs="Arial"/>
          <w:lang w:val="en-GB"/>
        </w:rPr>
        <w:t xml:space="preserve">leading to these results </w:t>
      </w:r>
      <w:r w:rsidRPr="006061EE">
        <w:rPr>
          <w:rFonts w:cs="Arial"/>
          <w:lang w:val="en-GB"/>
        </w:rPr>
        <w:t xml:space="preserve">was </w:t>
      </w:r>
      <w:r w:rsidRPr="006061EE">
        <w:rPr>
          <w:rStyle w:val="Emphasis"/>
          <w:rFonts w:cs="Arial"/>
          <w:i w:val="0"/>
          <w:lang w:val="en-GB"/>
        </w:rPr>
        <w:t>funded through the European Atomic Energy Community's Seventh Framework Programme (FP7/2007-2011) under grant agreement number 232598</w:t>
      </w:r>
      <w:r w:rsidRPr="006061EE">
        <w:rPr>
          <w:rFonts w:eastAsia="Times New Roman" w:cs="Arial"/>
          <w:color w:val="000000"/>
          <w:lang w:val="en-GB"/>
        </w:rPr>
        <w:t>.</w:t>
      </w:r>
      <w:r w:rsidR="00B107D9">
        <w:rPr>
          <w:rFonts w:eastAsia="Times New Roman" w:cs="Arial"/>
          <w:color w:val="000000"/>
          <w:lang w:val="en-GB"/>
        </w:rPr>
        <w:t xml:space="preserve"> As social scientists </w:t>
      </w:r>
      <w:r w:rsidR="000C2E21">
        <w:rPr>
          <w:rFonts w:eastAsia="Times New Roman" w:cs="Arial"/>
          <w:color w:val="000000"/>
          <w:lang w:val="en-GB"/>
        </w:rPr>
        <w:t>entering a complex technical field, we would also like to acknowledge the support of o</w:t>
      </w:r>
      <w:r w:rsidR="00B107D9">
        <w:rPr>
          <w:rFonts w:eastAsia="Times New Roman" w:cs="Arial"/>
          <w:color w:val="000000"/>
          <w:lang w:val="en-GB"/>
        </w:rPr>
        <w:t>ur partners in the project</w:t>
      </w:r>
      <w:r w:rsidR="000C2E21">
        <w:rPr>
          <w:rFonts w:eastAsia="Times New Roman" w:cs="Arial"/>
          <w:color w:val="000000"/>
          <w:lang w:val="en-GB"/>
        </w:rPr>
        <w:t>,</w:t>
      </w:r>
      <w:r w:rsidR="00B107D9">
        <w:rPr>
          <w:rFonts w:eastAsia="Times New Roman" w:cs="Arial"/>
          <w:color w:val="000000"/>
          <w:lang w:val="en-GB"/>
        </w:rPr>
        <w:t xml:space="preserve"> </w:t>
      </w:r>
      <w:r w:rsidR="000C2E21">
        <w:rPr>
          <w:rFonts w:eastAsia="Times New Roman" w:cs="Arial"/>
          <w:color w:val="000000"/>
          <w:lang w:val="en-GB"/>
        </w:rPr>
        <w:t xml:space="preserve">who </w:t>
      </w:r>
      <w:r w:rsidR="00B107D9">
        <w:rPr>
          <w:rFonts w:eastAsia="Times New Roman" w:cs="Arial"/>
          <w:color w:val="000000"/>
          <w:lang w:val="en-GB"/>
        </w:rPr>
        <w:t xml:space="preserve">have offered many helpful comments on our </w:t>
      </w:r>
      <w:r w:rsidR="000C2E21">
        <w:rPr>
          <w:rFonts w:eastAsia="Times New Roman" w:cs="Arial"/>
          <w:color w:val="000000"/>
          <w:lang w:val="en-GB"/>
        </w:rPr>
        <w:t xml:space="preserve">work </w:t>
      </w:r>
      <w:r w:rsidR="00B107D9">
        <w:rPr>
          <w:rFonts w:eastAsia="Times New Roman" w:cs="Arial"/>
          <w:color w:val="000000"/>
          <w:lang w:val="en-GB"/>
        </w:rPr>
        <w:t xml:space="preserve">and </w:t>
      </w:r>
      <w:r w:rsidR="000C2E21">
        <w:rPr>
          <w:rFonts w:eastAsia="Times New Roman" w:cs="Arial"/>
          <w:color w:val="000000"/>
          <w:lang w:val="en-GB"/>
        </w:rPr>
        <w:t xml:space="preserve">pointed out </w:t>
      </w:r>
      <w:r w:rsidR="00B107D9">
        <w:rPr>
          <w:rFonts w:eastAsia="Times New Roman" w:cs="Arial"/>
          <w:color w:val="000000"/>
          <w:lang w:val="en-GB"/>
        </w:rPr>
        <w:t xml:space="preserve">inaccuracies and misunderstandings about the technical and procedural aspects of repository monitoring. Any errors that, despite their best efforts, still remain are the responsibility of the authors. </w:t>
      </w:r>
    </w:p>
    <w:sectPr w:rsidR="006135CB" w:rsidRPr="006061EE" w:rsidSect="00687F66">
      <w:headerReference w:type="default" r:id="rId9"/>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F9" w:rsidRDefault="00FD55F9" w:rsidP="00444A1D">
      <w:r>
        <w:separator/>
      </w:r>
    </w:p>
  </w:endnote>
  <w:endnote w:type="continuationSeparator" w:id="0">
    <w:p w:rsidR="00FD55F9" w:rsidRDefault="00FD55F9" w:rsidP="0044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00499"/>
      <w:docPartObj>
        <w:docPartGallery w:val="Page Numbers (Bottom of Page)"/>
        <w:docPartUnique/>
      </w:docPartObj>
    </w:sdtPr>
    <w:sdtEndPr/>
    <w:sdtContent>
      <w:p w:rsidR="00FD55F9" w:rsidRDefault="0008466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D55F9" w:rsidRDefault="00FD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F9" w:rsidRDefault="00FD55F9" w:rsidP="00444A1D">
      <w:r>
        <w:separator/>
      </w:r>
    </w:p>
  </w:footnote>
  <w:footnote w:type="continuationSeparator" w:id="0">
    <w:p w:rsidR="00FD55F9" w:rsidRDefault="00FD55F9" w:rsidP="00444A1D">
      <w:r>
        <w:continuationSeparator/>
      </w:r>
    </w:p>
  </w:footnote>
  <w:footnote w:id="1">
    <w:p w:rsidR="00FD55F9" w:rsidRPr="005C4AC8" w:rsidRDefault="00FD55F9">
      <w:pPr>
        <w:pStyle w:val="FootnoteText"/>
        <w:rPr>
          <w:lang w:val="en-GB"/>
        </w:rPr>
      </w:pPr>
      <w:r>
        <w:rPr>
          <w:rStyle w:val="FootnoteReference"/>
        </w:rPr>
        <w:footnoteRef/>
      </w:r>
      <w:r>
        <w:t xml:space="preserve"> A full description of the </w:t>
      </w:r>
      <w:r>
        <w:rPr>
          <w:rFonts w:eastAsia="Times New Roman" w:cs="Arial"/>
          <w:color w:val="000000"/>
          <w:lang w:val="en-GB"/>
        </w:rPr>
        <w:t xml:space="preserve">project can be found at: </w:t>
      </w:r>
      <w:hyperlink r:id="rId1" w:history="1">
        <w:r w:rsidRPr="00F00B86">
          <w:rPr>
            <w:rStyle w:val="Hyperlink"/>
            <w:rFonts w:eastAsia="Times New Roman" w:cs="Arial"/>
            <w:lang w:val="en-GB"/>
          </w:rPr>
          <w:t>http://www.modern-fp7.eu/home/</w:t>
        </w:r>
      </w:hyperlink>
      <w:r>
        <w:rPr>
          <w:rFonts w:eastAsia="Times New Roman" w:cs="Arial"/>
          <w:color w:val="000000"/>
          <w:lang w:val="en-GB"/>
        </w:rPr>
        <w:t>.</w:t>
      </w:r>
    </w:p>
  </w:footnote>
  <w:footnote w:id="2">
    <w:p w:rsidR="00FD55F9" w:rsidRPr="0048053D" w:rsidRDefault="00FD55F9">
      <w:pPr>
        <w:pStyle w:val="FootnoteText"/>
        <w:rPr>
          <w:lang w:val="en-GB"/>
        </w:rPr>
      </w:pPr>
      <w:r>
        <w:rPr>
          <w:rStyle w:val="FootnoteReference"/>
        </w:rPr>
        <w:footnoteRef/>
      </w:r>
      <w:r>
        <w:rPr>
          <w:rFonts w:cs="Arial"/>
        </w:rPr>
        <w:t xml:space="preserve">Social scientific research on relations between experts and citizens suggests </w:t>
      </w:r>
      <w:r w:rsidRPr="001530F2">
        <w:rPr>
          <w:rFonts w:cs="Arial"/>
        </w:rPr>
        <w:t>that</w:t>
      </w:r>
      <w:r>
        <w:rPr>
          <w:rFonts w:cs="Arial"/>
        </w:rPr>
        <w:t xml:space="preserve"> although this might be a necessary condition for public confidence, it is not in itself likely to be a </w:t>
      </w:r>
      <w:r w:rsidRPr="00AD2C23">
        <w:rPr>
          <w:rFonts w:cs="Arial"/>
          <w:i/>
        </w:rPr>
        <w:t>sufficient</w:t>
      </w:r>
      <w:r>
        <w:rPr>
          <w:rFonts w:cs="Arial"/>
        </w:rPr>
        <w:t xml:space="preserve"> condition to ensure confidence. </w:t>
      </w:r>
    </w:p>
  </w:footnote>
  <w:footnote w:id="3">
    <w:p w:rsidR="00FD55F9" w:rsidRPr="002E1309" w:rsidRDefault="00FD55F9">
      <w:pPr>
        <w:pStyle w:val="FootnoteText"/>
        <w:rPr>
          <w:lang w:val="en-GB"/>
        </w:rPr>
      </w:pPr>
      <w:r>
        <w:rPr>
          <w:rStyle w:val="FootnoteReference"/>
        </w:rPr>
        <w:footnoteRef/>
      </w:r>
      <w:r>
        <w:t xml:space="preserve"> </w:t>
      </w:r>
      <w:r>
        <w:rPr>
          <w:rFonts w:cs="Arial"/>
          <w:color w:val="000000"/>
        </w:rPr>
        <w:t xml:space="preserve">Notwithstanding the </w:t>
      </w:r>
      <w:r w:rsidRPr="002544E2">
        <w:rPr>
          <w:rFonts w:cs="Arial"/>
          <w:color w:val="000000"/>
        </w:rPr>
        <w:t xml:space="preserve">exploratory research </w:t>
      </w:r>
      <w:r>
        <w:rPr>
          <w:rFonts w:cs="Arial"/>
          <w:color w:val="000000"/>
        </w:rPr>
        <w:t xml:space="preserve">being </w:t>
      </w:r>
      <w:r w:rsidRPr="002544E2">
        <w:rPr>
          <w:rFonts w:cs="Arial"/>
          <w:color w:val="000000"/>
        </w:rPr>
        <w:t xml:space="preserve">conducted as part of </w:t>
      </w:r>
      <w:r>
        <w:rPr>
          <w:rFonts w:cs="Arial"/>
          <w:color w:val="000000"/>
        </w:rPr>
        <w:t xml:space="preserve">the </w:t>
      </w:r>
      <w:r w:rsidRPr="002544E2">
        <w:rPr>
          <w:rFonts w:cs="Arial"/>
          <w:color w:val="000000"/>
        </w:rPr>
        <w:t>MoDeRn</w:t>
      </w:r>
      <w:r>
        <w:rPr>
          <w:rFonts w:cs="Arial"/>
          <w:color w:val="000000"/>
        </w:rPr>
        <w:t xml:space="preserve"> project</w:t>
      </w:r>
      <w:r>
        <w:rPr>
          <w:rStyle w:val="CommentReference"/>
        </w:rPr>
        <w:t/>
      </w:r>
      <w:r>
        <w:rPr>
          <w:rFonts w:cs="Arial"/>
          <w:color w:val="000000"/>
        </w:rPr>
        <w:t>.</w:t>
      </w:r>
    </w:p>
  </w:footnote>
  <w:footnote w:id="4">
    <w:p w:rsidR="00FD55F9" w:rsidRDefault="00FD55F9" w:rsidP="000B3782">
      <w:pPr>
        <w:pStyle w:val="FootnoteText"/>
      </w:pPr>
      <w:r>
        <w:rPr>
          <w:rStyle w:val="FootnoteReference"/>
        </w:rPr>
        <w:footnoteRef/>
      </w:r>
      <w:r>
        <w:t xml:space="preserve"> A principle that has been advocated for more general application in relation to expertise and policy [1</w:t>
      </w:r>
      <w:r w:rsidR="00A075E0">
        <w:t>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F9" w:rsidRPr="0076348D" w:rsidRDefault="00FD55F9" w:rsidP="0076348D">
    <w:pPr>
      <w:pStyle w:val="Default"/>
      <w:rPr>
        <w:rFonts w:asciiTheme="minorHAnsi" w:hAnsiTheme="minorHAnsi" w:cstheme="minorHAnsi"/>
      </w:rPr>
    </w:pPr>
    <w:r w:rsidRPr="00437B83">
      <w:rPr>
        <w:rFonts w:asciiTheme="minorHAnsi" w:hAnsiTheme="minorHAnsi" w:cstheme="minorHAnsi"/>
      </w:rPr>
      <w:t>WM2012 Conference, February 26 – March 1, 2012, Phoenix, Arizona, USA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143"/>
    <w:multiLevelType w:val="hybridMultilevel"/>
    <w:tmpl w:val="6DF6DA4C"/>
    <w:lvl w:ilvl="0" w:tplc="B4666008">
      <w:numFmt w:val="bullet"/>
      <w:lvlText w:val="-"/>
      <w:lvlJc w:val="left"/>
      <w:pPr>
        <w:ind w:left="720" w:hanging="360"/>
      </w:pPr>
      <w:rPr>
        <w:rFonts w:ascii="Cambria" w:eastAsia="SimSun" w:hAnsi="Cambr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B66EFB"/>
    <w:multiLevelType w:val="hybridMultilevel"/>
    <w:tmpl w:val="BD24A8D8"/>
    <w:lvl w:ilvl="0" w:tplc="090C646A">
      <w:start w:val="1"/>
      <w:numFmt w:val="upperLetter"/>
      <w:pStyle w:val="Kop4"/>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7CE0503"/>
    <w:multiLevelType w:val="hybridMultilevel"/>
    <w:tmpl w:val="029EB51E"/>
    <w:lvl w:ilvl="0" w:tplc="472A858E">
      <w:numFmt w:val="bullet"/>
      <w:lvlText w:val="-"/>
      <w:lvlJc w:val="left"/>
      <w:pPr>
        <w:ind w:left="786" w:hanging="360"/>
      </w:pPr>
      <w:rPr>
        <w:rFonts w:ascii="Cambria" w:eastAsia="SimSun" w:hAnsi="Cambria"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nsid w:val="6FD80E13"/>
    <w:multiLevelType w:val="hybridMultilevel"/>
    <w:tmpl w:val="3E2ED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0E"/>
    <w:rsid w:val="00005D90"/>
    <w:rsid w:val="000077B7"/>
    <w:rsid w:val="00013177"/>
    <w:rsid w:val="000243F8"/>
    <w:rsid w:val="00046E8A"/>
    <w:rsid w:val="00060F5E"/>
    <w:rsid w:val="00076006"/>
    <w:rsid w:val="00083724"/>
    <w:rsid w:val="0008466B"/>
    <w:rsid w:val="00091690"/>
    <w:rsid w:val="000B3782"/>
    <w:rsid w:val="000C2E21"/>
    <w:rsid w:val="000C7DFC"/>
    <w:rsid w:val="000D0937"/>
    <w:rsid w:val="000D2B99"/>
    <w:rsid w:val="000D2C89"/>
    <w:rsid w:val="000F145D"/>
    <w:rsid w:val="001163D5"/>
    <w:rsid w:val="00121FDD"/>
    <w:rsid w:val="00130ABE"/>
    <w:rsid w:val="00141A66"/>
    <w:rsid w:val="00151CD8"/>
    <w:rsid w:val="00157FE7"/>
    <w:rsid w:val="001914C9"/>
    <w:rsid w:val="001931C5"/>
    <w:rsid w:val="001B6557"/>
    <w:rsid w:val="001D4734"/>
    <w:rsid w:val="001E79E2"/>
    <w:rsid w:val="001F3A42"/>
    <w:rsid w:val="001F5D2F"/>
    <w:rsid w:val="001F6AD4"/>
    <w:rsid w:val="00200660"/>
    <w:rsid w:val="00213407"/>
    <w:rsid w:val="0022480D"/>
    <w:rsid w:val="002459C0"/>
    <w:rsid w:val="002558D2"/>
    <w:rsid w:val="00255A21"/>
    <w:rsid w:val="00263139"/>
    <w:rsid w:val="002713DB"/>
    <w:rsid w:val="002C26C4"/>
    <w:rsid w:val="002C3B0E"/>
    <w:rsid w:val="002D6175"/>
    <w:rsid w:val="002E1309"/>
    <w:rsid w:val="00303373"/>
    <w:rsid w:val="00305C3E"/>
    <w:rsid w:val="003062C6"/>
    <w:rsid w:val="0032640D"/>
    <w:rsid w:val="00363C1F"/>
    <w:rsid w:val="00371468"/>
    <w:rsid w:val="003838EF"/>
    <w:rsid w:val="00385C84"/>
    <w:rsid w:val="00387514"/>
    <w:rsid w:val="003A10B0"/>
    <w:rsid w:val="003A15D0"/>
    <w:rsid w:val="003A526C"/>
    <w:rsid w:val="003C093D"/>
    <w:rsid w:val="00403A84"/>
    <w:rsid w:val="00407B8B"/>
    <w:rsid w:val="00420319"/>
    <w:rsid w:val="00422DB3"/>
    <w:rsid w:val="004234F5"/>
    <w:rsid w:val="0042799A"/>
    <w:rsid w:val="00432573"/>
    <w:rsid w:val="00437B83"/>
    <w:rsid w:val="00444A1D"/>
    <w:rsid w:val="004733DC"/>
    <w:rsid w:val="0048053D"/>
    <w:rsid w:val="004914E2"/>
    <w:rsid w:val="00491F68"/>
    <w:rsid w:val="00497C24"/>
    <w:rsid w:val="004F1312"/>
    <w:rsid w:val="005100E0"/>
    <w:rsid w:val="00555B4F"/>
    <w:rsid w:val="00574090"/>
    <w:rsid w:val="00597B0F"/>
    <w:rsid w:val="005B291A"/>
    <w:rsid w:val="005C4AC8"/>
    <w:rsid w:val="005F1DDC"/>
    <w:rsid w:val="006061EE"/>
    <w:rsid w:val="006135CB"/>
    <w:rsid w:val="00617920"/>
    <w:rsid w:val="0062766E"/>
    <w:rsid w:val="00627FA8"/>
    <w:rsid w:val="006341F1"/>
    <w:rsid w:val="0065418E"/>
    <w:rsid w:val="00671233"/>
    <w:rsid w:val="00671ABB"/>
    <w:rsid w:val="00682CAE"/>
    <w:rsid w:val="00687F66"/>
    <w:rsid w:val="006A1409"/>
    <w:rsid w:val="006A5053"/>
    <w:rsid w:val="006A5095"/>
    <w:rsid w:val="006B0DB3"/>
    <w:rsid w:val="006B6F14"/>
    <w:rsid w:val="006C109B"/>
    <w:rsid w:val="00720EE3"/>
    <w:rsid w:val="00726CB1"/>
    <w:rsid w:val="00731213"/>
    <w:rsid w:val="00763218"/>
    <w:rsid w:val="0076348D"/>
    <w:rsid w:val="00763FCB"/>
    <w:rsid w:val="00767AA7"/>
    <w:rsid w:val="00795362"/>
    <w:rsid w:val="007A3366"/>
    <w:rsid w:val="007B274F"/>
    <w:rsid w:val="007D57FE"/>
    <w:rsid w:val="007E7BE0"/>
    <w:rsid w:val="007F2274"/>
    <w:rsid w:val="0080278A"/>
    <w:rsid w:val="0081006C"/>
    <w:rsid w:val="00812A26"/>
    <w:rsid w:val="00817D33"/>
    <w:rsid w:val="008214E1"/>
    <w:rsid w:val="00850B00"/>
    <w:rsid w:val="00851C8A"/>
    <w:rsid w:val="00861BA5"/>
    <w:rsid w:val="00862789"/>
    <w:rsid w:val="008657C3"/>
    <w:rsid w:val="00884D7A"/>
    <w:rsid w:val="008A5401"/>
    <w:rsid w:val="008B7121"/>
    <w:rsid w:val="008C6C4D"/>
    <w:rsid w:val="008D347F"/>
    <w:rsid w:val="008D36FB"/>
    <w:rsid w:val="008D3E62"/>
    <w:rsid w:val="008D6657"/>
    <w:rsid w:val="008E0BDB"/>
    <w:rsid w:val="008F11F4"/>
    <w:rsid w:val="008F3DB4"/>
    <w:rsid w:val="00904C4F"/>
    <w:rsid w:val="00916C29"/>
    <w:rsid w:val="0092613D"/>
    <w:rsid w:val="00932EFB"/>
    <w:rsid w:val="009566DD"/>
    <w:rsid w:val="009C4E81"/>
    <w:rsid w:val="009E3C0C"/>
    <w:rsid w:val="00A014FF"/>
    <w:rsid w:val="00A05220"/>
    <w:rsid w:val="00A075E0"/>
    <w:rsid w:val="00A12CBA"/>
    <w:rsid w:val="00A15F81"/>
    <w:rsid w:val="00A353E2"/>
    <w:rsid w:val="00A4059B"/>
    <w:rsid w:val="00A40EF3"/>
    <w:rsid w:val="00A733F7"/>
    <w:rsid w:val="00A83A9F"/>
    <w:rsid w:val="00AA6055"/>
    <w:rsid w:val="00AA7078"/>
    <w:rsid w:val="00AD2C23"/>
    <w:rsid w:val="00AE0425"/>
    <w:rsid w:val="00AF59C4"/>
    <w:rsid w:val="00B013D6"/>
    <w:rsid w:val="00B107D9"/>
    <w:rsid w:val="00B10EEF"/>
    <w:rsid w:val="00B13A4A"/>
    <w:rsid w:val="00B21502"/>
    <w:rsid w:val="00B260B5"/>
    <w:rsid w:val="00B359F2"/>
    <w:rsid w:val="00B46631"/>
    <w:rsid w:val="00B471C3"/>
    <w:rsid w:val="00B517FA"/>
    <w:rsid w:val="00B61594"/>
    <w:rsid w:val="00B747EC"/>
    <w:rsid w:val="00B842F7"/>
    <w:rsid w:val="00B86CD2"/>
    <w:rsid w:val="00BB0916"/>
    <w:rsid w:val="00BC3305"/>
    <w:rsid w:val="00BC6135"/>
    <w:rsid w:val="00BC7EC3"/>
    <w:rsid w:val="00BD5685"/>
    <w:rsid w:val="00BE2BE9"/>
    <w:rsid w:val="00BE477D"/>
    <w:rsid w:val="00C20094"/>
    <w:rsid w:val="00C2063C"/>
    <w:rsid w:val="00C25ACF"/>
    <w:rsid w:val="00C31B41"/>
    <w:rsid w:val="00C41EEE"/>
    <w:rsid w:val="00C434CD"/>
    <w:rsid w:val="00C57FE9"/>
    <w:rsid w:val="00C76047"/>
    <w:rsid w:val="00CB52D6"/>
    <w:rsid w:val="00D3671A"/>
    <w:rsid w:val="00D622FD"/>
    <w:rsid w:val="00D7490A"/>
    <w:rsid w:val="00DA1BA8"/>
    <w:rsid w:val="00DA4F18"/>
    <w:rsid w:val="00DA559B"/>
    <w:rsid w:val="00DE0C01"/>
    <w:rsid w:val="00E0177F"/>
    <w:rsid w:val="00E046AA"/>
    <w:rsid w:val="00E172BB"/>
    <w:rsid w:val="00E21758"/>
    <w:rsid w:val="00E51A19"/>
    <w:rsid w:val="00E5462B"/>
    <w:rsid w:val="00E738DA"/>
    <w:rsid w:val="00E935E9"/>
    <w:rsid w:val="00EA2B3C"/>
    <w:rsid w:val="00EA71BB"/>
    <w:rsid w:val="00EB7E9E"/>
    <w:rsid w:val="00ED07DC"/>
    <w:rsid w:val="00ED1B70"/>
    <w:rsid w:val="00ED53A5"/>
    <w:rsid w:val="00EF585C"/>
    <w:rsid w:val="00F11666"/>
    <w:rsid w:val="00F2299B"/>
    <w:rsid w:val="00F40CFC"/>
    <w:rsid w:val="00F459DA"/>
    <w:rsid w:val="00F60A8A"/>
    <w:rsid w:val="00F64C85"/>
    <w:rsid w:val="00F67FDF"/>
    <w:rsid w:val="00F80047"/>
    <w:rsid w:val="00F83CAA"/>
    <w:rsid w:val="00F873B0"/>
    <w:rsid w:val="00F95240"/>
    <w:rsid w:val="00FB441A"/>
    <w:rsid w:val="00FC023A"/>
    <w:rsid w:val="00FD55F9"/>
    <w:rsid w:val="00FE02E2"/>
    <w:rsid w:val="00FE1270"/>
    <w:rsid w:val="00FE1849"/>
    <w:rsid w:val="00FE3610"/>
    <w:rsid w:val="00FE700E"/>
    <w:rsid w:val="00FE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EE"/>
    <w:pPr>
      <w:spacing w:after="0" w:line="240" w:lineRule="auto"/>
    </w:pPr>
    <w:rPr>
      <w:rFonts w:ascii="Arial" w:hAnsi="Arial"/>
    </w:rPr>
  </w:style>
  <w:style w:type="paragraph" w:styleId="Heading1">
    <w:name w:val="heading 1"/>
    <w:basedOn w:val="Normal"/>
    <w:next w:val="Normal"/>
    <w:link w:val="Heading1Char"/>
    <w:uiPriority w:val="9"/>
    <w:qFormat/>
    <w:rsid w:val="00444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0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B6F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tycke">
    <w:name w:val="Liststycke"/>
    <w:basedOn w:val="Normal"/>
    <w:uiPriority w:val="34"/>
    <w:qFormat/>
    <w:rsid w:val="000C7DFC"/>
    <w:pPr>
      <w:spacing w:line="288" w:lineRule="auto"/>
      <w:ind w:left="720"/>
      <w:contextualSpacing/>
      <w:jc w:val="both"/>
    </w:pPr>
    <w:rPr>
      <w:rFonts w:ascii="Cambria" w:eastAsia="SimSun" w:hAnsi="Cambria" w:cs="Times New Roman"/>
      <w:sz w:val="24"/>
      <w:szCs w:val="24"/>
      <w:lang w:val="en-GB" w:eastAsia="en-GB"/>
    </w:rPr>
  </w:style>
  <w:style w:type="paragraph" w:customStyle="1" w:styleId="Kop4">
    <w:name w:val="Kop4"/>
    <w:basedOn w:val="Heading4"/>
    <w:next w:val="Normal"/>
    <w:link w:val="Kop4Char"/>
    <w:qFormat/>
    <w:rsid w:val="006B6F14"/>
    <w:pPr>
      <w:numPr>
        <w:numId w:val="2"/>
      </w:numPr>
      <w:spacing w:after="120" w:line="288" w:lineRule="auto"/>
      <w:jc w:val="both"/>
    </w:pPr>
    <w:rPr>
      <w:rFonts w:ascii="Calibri" w:eastAsia="Times New Roman" w:hAnsi="Calibri" w:cs="Times New Roman"/>
      <w:i w:val="0"/>
      <w:color w:val="4F81BD"/>
      <w:sz w:val="24"/>
      <w:szCs w:val="24"/>
      <w:lang w:val="en-GB" w:eastAsia="en-GB"/>
    </w:rPr>
  </w:style>
  <w:style w:type="character" w:customStyle="1" w:styleId="Kop4Char">
    <w:name w:val="Kop4 Char"/>
    <w:basedOn w:val="Heading4Char"/>
    <w:link w:val="Kop4"/>
    <w:rsid w:val="006B6F14"/>
    <w:rPr>
      <w:rFonts w:ascii="Calibri" w:eastAsia="Times New Roman" w:hAnsi="Calibri" w:cs="Times New Roman"/>
      <w:b/>
      <w:bCs/>
      <w:i w:val="0"/>
      <w:iCs/>
      <w:color w:val="4F81BD"/>
      <w:sz w:val="24"/>
      <w:szCs w:val="24"/>
      <w:lang w:val="en-GB" w:eastAsia="en-GB"/>
    </w:rPr>
  </w:style>
  <w:style w:type="character" w:customStyle="1" w:styleId="Diskretbetoning">
    <w:name w:val="Diskret betoning"/>
    <w:basedOn w:val="DefaultParagraphFont"/>
    <w:uiPriority w:val="19"/>
    <w:qFormat/>
    <w:rsid w:val="006B6F14"/>
    <w:rPr>
      <w:i/>
      <w:iCs/>
      <w:color w:val="808080"/>
    </w:rPr>
  </w:style>
  <w:style w:type="character" w:customStyle="1" w:styleId="Heading4Char">
    <w:name w:val="Heading 4 Char"/>
    <w:basedOn w:val="DefaultParagraphFont"/>
    <w:link w:val="Heading4"/>
    <w:uiPriority w:val="9"/>
    <w:semiHidden/>
    <w:rsid w:val="006B6F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C6C4D"/>
    <w:rPr>
      <w:color w:val="0000FF" w:themeColor="hyperlink"/>
      <w:u w:val="single"/>
    </w:rPr>
  </w:style>
  <w:style w:type="paragraph" w:styleId="Header">
    <w:name w:val="header"/>
    <w:basedOn w:val="Normal"/>
    <w:link w:val="HeaderChar"/>
    <w:uiPriority w:val="99"/>
    <w:unhideWhenUsed/>
    <w:rsid w:val="00444A1D"/>
    <w:pPr>
      <w:tabs>
        <w:tab w:val="center" w:pos="4536"/>
        <w:tab w:val="right" w:pos="9072"/>
      </w:tabs>
    </w:pPr>
  </w:style>
  <w:style w:type="character" w:customStyle="1" w:styleId="HeaderChar">
    <w:name w:val="Header Char"/>
    <w:basedOn w:val="DefaultParagraphFont"/>
    <w:link w:val="Header"/>
    <w:uiPriority w:val="99"/>
    <w:rsid w:val="00444A1D"/>
  </w:style>
  <w:style w:type="paragraph" w:styleId="Footer">
    <w:name w:val="footer"/>
    <w:basedOn w:val="Normal"/>
    <w:link w:val="FooterChar"/>
    <w:uiPriority w:val="99"/>
    <w:unhideWhenUsed/>
    <w:rsid w:val="00444A1D"/>
    <w:pPr>
      <w:tabs>
        <w:tab w:val="center" w:pos="4536"/>
        <w:tab w:val="right" w:pos="9072"/>
      </w:tabs>
    </w:pPr>
  </w:style>
  <w:style w:type="character" w:customStyle="1" w:styleId="FooterChar">
    <w:name w:val="Footer Char"/>
    <w:basedOn w:val="DefaultParagraphFont"/>
    <w:link w:val="Footer"/>
    <w:uiPriority w:val="99"/>
    <w:rsid w:val="00444A1D"/>
  </w:style>
  <w:style w:type="paragraph" w:styleId="BalloonText">
    <w:name w:val="Balloon Text"/>
    <w:basedOn w:val="Normal"/>
    <w:link w:val="BalloonTextChar"/>
    <w:uiPriority w:val="99"/>
    <w:semiHidden/>
    <w:unhideWhenUsed/>
    <w:rsid w:val="00444A1D"/>
    <w:rPr>
      <w:rFonts w:ascii="Tahoma" w:hAnsi="Tahoma" w:cs="Tahoma"/>
      <w:sz w:val="16"/>
      <w:szCs w:val="16"/>
    </w:rPr>
  </w:style>
  <w:style w:type="character" w:customStyle="1" w:styleId="BalloonTextChar">
    <w:name w:val="Balloon Text Char"/>
    <w:basedOn w:val="DefaultParagraphFont"/>
    <w:link w:val="BalloonText"/>
    <w:uiPriority w:val="99"/>
    <w:semiHidden/>
    <w:rsid w:val="00444A1D"/>
    <w:rPr>
      <w:rFonts w:ascii="Tahoma" w:hAnsi="Tahoma" w:cs="Tahoma"/>
      <w:sz w:val="16"/>
      <w:szCs w:val="16"/>
    </w:rPr>
  </w:style>
  <w:style w:type="character" w:customStyle="1" w:styleId="Heading1Char">
    <w:name w:val="Heading 1 Char"/>
    <w:basedOn w:val="DefaultParagraphFont"/>
    <w:link w:val="Heading1"/>
    <w:uiPriority w:val="9"/>
    <w:rsid w:val="00444A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41A66"/>
    <w:rPr>
      <w:sz w:val="20"/>
      <w:szCs w:val="20"/>
    </w:rPr>
  </w:style>
  <w:style w:type="character" w:customStyle="1" w:styleId="FootnoteTextChar">
    <w:name w:val="Footnote Text Char"/>
    <w:basedOn w:val="DefaultParagraphFont"/>
    <w:link w:val="FootnoteText"/>
    <w:uiPriority w:val="99"/>
    <w:rsid w:val="00141A66"/>
    <w:rPr>
      <w:sz w:val="20"/>
      <w:szCs w:val="20"/>
    </w:rPr>
  </w:style>
  <w:style w:type="character" w:styleId="FootnoteReference">
    <w:name w:val="footnote reference"/>
    <w:basedOn w:val="DefaultParagraphFont"/>
    <w:uiPriority w:val="99"/>
    <w:unhideWhenUsed/>
    <w:rsid w:val="00141A66"/>
    <w:rPr>
      <w:vertAlign w:val="superscript"/>
    </w:rPr>
  </w:style>
  <w:style w:type="character" w:styleId="Emphasis">
    <w:name w:val="Emphasis"/>
    <w:basedOn w:val="DefaultParagraphFont"/>
    <w:uiPriority w:val="20"/>
    <w:qFormat/>
    <w:rsid w:val="00141A66"/>
    <w:rPr>
      <w:i/>
      <w:iCs/>
    </w:rPr>
  </w:style>
  <w:style w:type="character" w:styleId="CommentReference">
    <w:name w:val="annotation reference"/>
    <w:basedOn w:val="DefaultParagraphFont"/>
    <w:uiPriority w:val="99"/>
    <w:unhideWhenUsed/>
    <w:rsid w:val="004F1312"/>
    <w:rPr>
      <w:sz w:val="16"/>
      <w:szCs w:val="16"/>
    </w:rPr>
  </w:style>
  <w:style w:type="paragraph" w:styleId="CommentText">
    <w:name w:val="annotation text"/>
    <w:basedOn w:val="Normal"/>
    <w:link w:val="CommentTextChar"/>
    <w:uiPriority w:val="99"/>
    <w:unhideWhenUsed/>
    <w:rsid w:val="004F1312"/>
    <w:rPr>
      <w:sz w:val="20"/>
      <w:szCs w:val="20"/>
    </w:rPr>
  </w:style>
  <w:style w:type="character" w:customStyle="1" w:styleId="CommentTextChar">
    <w:name w:val="Comment Text Char"/>
    <w:basedOn w:val="DefaultParagraphFont"/>
    <w:link w:val="CommentText"/>
    <w:uiPriority w:val="99"/>
    <w:rsid w:val="004F1312"/>
    <w:rPr>
      <w:sz w:val="20"/>
      <w:szCs w:val="20"/>
    </w:rPr>
  </w:style>
  <w:style w:type="paragraph" w:styleId="CommentSubject">
    <w:name w:val="annotation subject"/>
    <w:basedOn w:val="CommentText"/>
    <w:next w:val="CommentText"/>
    <w:link w:val="CommentSubjectChar"/>
    <w:uiPriority w:val="99"/>
    <w:semiHidden/>
    <w:unhideWhenUsed/>
    <w:rsid w:val="004F1312"/>
    <w:rPr>
      <w:b/>
      <w:bCs/>
    </w:rPr>
  </w:style>
  <w:style w:type="character" w:customStyle="1" w:styleId="CommentSubjectChar">
    <w:name w:val="Comment Subject Char"/>
    <w:basedOn w:val="CommentTextChar"/>
    <w:link w:val="CommentSubject"/>
    <w:uiPriority w:val="99"/>
    <w:semiHidden/>
    <w:rsid w:val="004F1312"/>
    <w:rPr>
      <w:b/>
      <w:bCs/>
      <w:sz w:val="20"/>
      <w:szCs w:val="20"/>
    </w:rPr>
  </w:style>
  <w:style w:type="character" w:customStyle="1" w:styleId="Heading2Char">
    <w:name w:val="Heading 2 Char"/>
    <w:basedOn w:val="DefaultParagraphFont"/>
    <w:link w:val="Heading2"/>
    <w:uiPriority w:val="9"/>
    <w:rsid w:val="00FE700E"/>
    <w:rPr>
      <w:rFonts w:asciiTheme="majorHAnsi" w:eastAsiaTheme="majorEastAsia" w:hAnsiTheme="majorHAnsi" w:cstheme="majorBidi"/>
      <w:b/>
      <w:bCs/>
      <w:color w:val="4F81BD" w:themeColor="accent1"/>
      <w:sz w:val="26"/>
      <w:szCs w:val="26"/>
    </w:rPr>
  </w:style>
  <w:style w:type="paragraph" w:customStyle="1" w:styleId="Default">
    <w:name w:val="Default"/>
    <w:rsid w:val="00437B83"/>
    <w:pPr>
      <w:autoSpaceDE w:val="0"/>
      <w:autoSpaceDN w:val="0"/>
      <w:adjustRightInd w:val="0"/>
      <w:spacing w:after="0" w:line="240" w:lineRule="auto"/>
    </w:pPr>
    <w:rPr>
      <w:rFonts w:ascii="Arial" w:hAnsi="Arial" w:cs="Arial"/>
      <w:color w:val="000000"/>
      <w:sz w:val="24"/>
      <w:szCs w:val="24"/>
      <w:lang w:val="en-GB"/>
    </w:rPr>
  </w:style>
  <w:style w:type="paragraph" w:customStyle="1" w:styleId="Citat">
    <w:name w:val="Citat"/>
    <w:basedOn w:val="Normal"/>
    <w:next w:val="Normal"/>
    <w:link w:val="CitatChar"/>
    <w:uiPriority w:val="29"/>
    <w:qFormat/>
    <w:rsid w:val="000B3782"/>
    <w:pPr>
      <w:spacing w:before="60" w:after="120"/>
      <w:ind w:left="425"/>
    </w:pPr>
    <w:rPr>
      <w:rFonts w:eastAsia="SimSun" w:cs="Times New Roman"/>
      <w:i/>
      <w:iCs/>
      <w:color w:val="000000"/>
      <w:sz w:val="20"/>
      <w:szCs w:val="24"/>
      <w:lang w:val="en-GB" w:eastAsia="en-GB"/>
    </w:rPr>
  </w:style>
  <w:style w:type="character" w:customStyle="1" w:styleId="CitatChar">
    <w:name w:val="Citat Char"/>
    <w:link w:val="Citat"/>
    <w:uiPriority w:val="29"/>
    <w:rsid w:val="000B3782"/>
    <w:rPr>
      <w:rFonts w:ascii="Arial" w:eastAsia="SimSun" w:hAnsi="Arial" w:cs="Times New Roman"/>
      <w:i/>
      <w:iCs/>
      <w:color w:val="000000"/>
      <w:sz w:val="20"/>
      <w:szCs w:val="24"/>
      <w:lang w:val="en-GB" w:eastAsia="en-GB"/>
    </w:rPr>
  </w:style>
  <w:style w:type="character" w:customStyle="1" w:styleId="Starkbetoning">
    <w:name w:val="Stark betoning"/>
    <w:uiPriority w:val="21"/>
    <w:qFormat/>
    <w:rsid w:val="000B3782"/>
    <w:rPr>
      <w:b/>
      <w:bCs/>
      <w:i/>
      <w:iCs/>
      <w:color w:val="4F81BD"/>
    </w:rPr>
  </w:style>
  <w:style w:type="paragraph" w:styleId="ListParagraph">
    <w:name w:val="List Paragraph"/>
    <w:basedOn w:val="Normal"/>
    <w:uiPriority w:val="34"/>
    <w:qFormat/>
    <w:rsid w:val="00F60A8A"/>
    <w:pPr>
      <w:ind w:left="720"/>
      <w:contextualSpacing/>
    </w:pPr>
  </w:style>
  <w:style w:type="character" w:customStyle="1" w:styleId="nlmyear">
    <w:name w:val="nlm_year"/>
    <w:basedOn w:val="DefaultParagraphFont"/>
    <w:rsid w:val="00A07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EE"/>
    <w:pPr>
      <w:spacing w:after="0" w:line="240" w:lineRule="auto"/>
    </w:pPr>
    <w:rPr>
      <w:rFonts w:ascii="Arial" w:hAnsi="Arial"/>
    </w:rPr>
  </w:style>
  <w:style w:type="paragraph" w:styleId="Heading1">
    <w:name w:val="heading 1"/>
    <w:basedOn w:val="Normal"/>
    <w:next w:val="Normal"/>
    <w:link w:val="Heading1Char"/>
    <w:uiPriority w:val="9"/>
    <w:qFormat/>
    <w:rsid w:val="00444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0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B6F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stycke">
    <w:name w:val="Liststycke"/>
    <w:basedOn w:val="Normal"/>
    <w:uiPriority w:val="34"/>
    <w:qFormat/>
    <w:rsid w:val="000C7DFC"/>
    <w:pPr>
      <w:spacing w:line="288" w:lineRule="auto"/>
      <w:ind w:left="720"/>
      <w:contextualSpacing/>
      <w:jc w:val="both"/>
    </w:pPr>
    <w:rPr>
      <w:rFonts w:ascii="Cambria" w:eastAsia="SimSun" w:hAnsi="Cambria" w:cs="Times New Roman"/>
      <w:sz w:val="24"/>
      <w:szCs w:val="24"/>
      <w:lang w:val="en-GB" w:eastAsia="en-GB"/>
    </w:rPr>
  </w:style>
  <w:style w:type="paragraph" w:customStyle="1" w:styleId="Kop4">
    <w:name w:val="Kop4"/>
    <w:basedOn w:val="Heading4"/>
    <w:next w:val="Normal"/>
    <w:link w:val="Kop4Char"/>
    <w:qFormat/>
    <w:rsid w:val="006B6F14"/>
    <w:pPr>
      <w:numPr>
        <w:numId w:val="2"/>
      </w:numPr>
      <w:spacing w:after="120" w:line="288" w:lineRule="auto"/>
      <w:jc w:val="both"/>
    </w:pPr>
    <w:rPr>
      <w:rFonts w:ascii="Calibri" w:eastAsia="Times New Roman" w:hAnsi="Calibri" w:cs="Times New Roman"/>
      <w:i w:val="0"/>
      <w:color w:val="4F81BD"/>
      <w:sz w:val="24"/>
      <w:szCs w:val="24"/>
      <w:lang w:val="en-GB" w:eastAsia="en-GB"/>
    </w:rPr>
  </w:style>
  <w:style w:type="character" w:customStyle="1" w:styleId="Kop4Char">
    <w:name w:val="Kop4 Char"/>
    <w:basedOn w:val="Heading4Char"/>
    <w:link w:val="Kop4"/>
    <w:rsid w:val="006B6F14"/>
    <w:rPr>
      <w:rFonts w:ascii="Calibri" w:eastAsia="Times New Roman" w:hAnsi="Calibri" w:cs="Times New Roman"/>
      <w:b/>
      <w:bCs/>
      <w:i w:val="0"/>
      <w:iCs/>
      <w:color w:val="4F81BD"/>
      <w:sz w:val="24"/>
      <w:szCs w:val="24"/>
      <w:lang w:val="en-GB" w:eastAsia="en-GB"/>
    </w:rPr>
  </w:style>
  <w:style w:type="character" w:customStyle="1" w:styleId="Diskretbetoning">
    <w:name w:val="Diskret betoning"/>
    <w:basedOn w:val="DefaultParagraphFont"/>
    <w:uiPriority w:val="19"/>
    <w:qFormat/>
    <w:rsid w:val="006B6F14"/>
    <w:rPr>
      <w:i/>
      <w:iCs/>
      <w:color w:val="808080"/>
    </w:rPr>
  </w:style>
  <w:style w:type="character" w:customStyle="1" w:styleId="Heading4Char">
    <w:name w:val="Heading 4 Char"/>
    <w:basedOn w:val="DefaultParagraphFont"/>
    <w:link w:val="Heading4"/>
    <w:uiPriority w:val="9"/>
    <w:semiHidden/>
    <w:rsid w:val="006B6F1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C6C4D"/>
    <w:rPr>
      <w:color w:val="0000FF" w:themeColor="hyperlink"/>
      <w:u w:val="single"/>
    </w:rPr>
  </w:style>
  <w:style w:type="paragraph" w:styleId="Header">
    <w:name w:val="header"/>
    <w:basedOn w:val="Normal"/>
    <w:link w:val="HeaderChar"/>
    <w:uiPriority w:val="99"/>
    <w:unhideWhenUsed/>
    <w:rsid w:val="00444A1D"/>
    <w:pPr>
      <w:tabs>
        <w:tab w:val="center" w:pos="4536"/>
        <w:tab w:val="right" w:pos="9072"/>
      </w:tabs>
    </w:pPr>
  </w:style>
  <w:style w:type="character" w:customStyle="1" w:styleId="HeaderChar">
    <w:name w:val="Header Char"/>
    <w:basedOn w:val="DefaultParagraphFont"/>
    <w:link w:val="Header"/>
    <w:uiPriority w:val="99"/>
    <w:rsid w:val="00444A1D"/>
  </w:style>
  <w:style w:type="paragraph" w:styleId="Footer">
    <w:name w:val="footer"/>
    <w:basedOn w:val="Normal"/>
    <w:link w:val="FooterChar"/>
    <w:uiPriority w:val="99"/>
    <w:unhideWhenUsed/>
    <w:rsid w:val="00444A1D"/>
    <w:pPr>
      <w:tabs>
        <w:tab w:val="center" w:pos="4536"/>
        <w:tab w:val="right" w:pos="9072"/>
      </w:tabs>
    </w:pPr>
  </w:style>
  <w:style w:type="character" w:customStyle="1" w:styleId="FooterChar">
    <w:name w:val="Footer Char"/>
    <w:basedOn w:val="DefaultParagraphFont"/>
    <w:link w:val="Footer"/>
    <w:uiPriority w:val="99"/>
    <w:rsid w:val="00444A1D"/>
  </w:style>
  <w:style w:type="paragraph" w:styleId="BalloonText">
    <w:name w:val="Balloon Text"/>
    <w:basedOn w:val="Normal"/>
    <w:link w:val="BalloonTextChar"/>
    <w:uiPriority w:val="99"/>
    <w:semiHidden/>
    <w:unhideWhenUsed/>
    <w:rsid w:val="00444A1D"/>
    <w:rPr>
      <w:rFonts w:ascii="Tahoma" w:hAnsi="Tahoma" w:cs="Tahoma"/>
      <w:sz w:val="16"/>
      <w:szCs w:val="16"/>
    </w:rPr>
  </w:style>
  <w:style w:type="character" w:customStyle="1" w:styleId="BalloonTextChar">
    <w:name w:val="Balloon Text Char"/>
    <w:basedOn w:val="DefaultParagraphFont"/>
    <w:link w:val="BalloonText"/>
    <w:uiPriority w:val="99"/>
    <w:semiHidden/>
    <w:rsid w:val="00444A1D"/>
    <w:rPr>
      <w:rFonts w:ascii="Tahoma" w:hAnsi="Tahoma" w:cs="Tahoma"/>
      <w:sz w:val="16"/>
      <w:szCs w:val="16"/>
    </w:rPr>
  </w:style>
  <w:style w:type="character" w:customStyle="1" w:styleId="Heading1Char">
    <w:name w:val="Heading 1 Char"/>
    <w:basedOn w:val="DefaultParagraphFont"/>
    <w:link w:val="Heading1"/>
    <w:uiPriority w:val="9"/>
    <w:rsid w:val="00444A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141A66"/>
    <w:rPr>
      <w:sz w:val="20"/>
      <w:szCs w:val="20"/>
    </w:rPr>
  </w:style>
  <w:style w:type="character" w:customStyle="1" w:styleId="FootnoteTextChar">
    <w:name w:val="Footnote Text Char"/>
    <w:basedOn w:val="DefaultParagraphFont"/>
    <w:link w:val="FootnoteText"/>
    <w:uiPriority w:val="99"/>
    <w:rsid w:val="00141A66"/>
    <w:rPr>
      <w:sz w:val="20"/>
      <w:szCs w:val="20"/>
    </w:rPr>
  </w:style>
  <w:style w:type="character" w:styleId="FootnoteReference">
    <w:name w:val="footnote reference"/>
    <w:basedOn w:val="DefaultParagraphFont"/>
    <w:uiPriority w:val="99"/>
    <w:unhideWhenUsed/>
    <w:rsid w:val="00141A66"/>
    <w:rPr>
      <w:vertAlign w:val="superscript"/>
    </w:rPr>
  </w:style>
  <w:style w:type="character" w:styleId="Emphasis">
    <w:name w:val="Emphasis"/>
    <w:basedOn w:val="DefaultParagraphFont"/>
    <w:uiPriority w:val="20"/>
    <w:qFormat/>
    <w:rsid w:val="00141A66"/>
    <w:rPr>
      <w:i/>
      <w:iCs/>
    </w:rPr>
  </w:style>
  <w:style w:type="character" w:styleId="CommentReference">
    <w:name w:val="annotation reference"/>
    <w:basedOn w:val="DefaultParagraphFont"/>
    <w:uiPriority w:val="99"/>
    <w:unhideWhenUsed/>
    <w:rsid w:val="004F1312"/>
    <w:rPr>
      <w:sz w:val="16"/>
      <w:szCs w:val="16"/>
    </w:rPr>
  </w:style>
  <w:style w:type="paragraph" w:styleId="CommentText">
    <w:name w:val="annotation text"/>
    <w:basedOn w:val="Normal"/>
    <w:link w:val="CommentTextChar"/>
    <w:uiPriority w:val="99"/>
    <w:unhideWhenUsed/>
    <w:rsid w:val="004F1312"/>
    <w:rPr>
      <w:sz w:val="20"/>
      <w:szCs w:val="20"/>
    </w:rPr>
  </w:style>
  <w:style w:type="character" w:customStyle="1" w:styleId="CommentTextChar">
    <w:name w:val="Comment Text Char"/>
    <w:basedOn w:val="DefaultParagraphFont"/>
    <w:link w:val="CommentText"/>
    <w:uiPriority w:val="99"/>
    <w:rsid w:val="004F1312"/>
    <w:rPr>
      <w:sz w:val="20"/>
      <w:szCs w:val="20"/>
    </w:rPr>
  </w:style>
  <w:style w:type="paragraph" w:styleId="CommentSubject">
    <w:name w:val="annotation subject"/>
    <w:basedOn w:val="CommentText"/>
    <w:next w:val="CommentText"/>
    <w:link w:val="CommentSubjectChar"/>
    <w:uiPriority w:val="99"/>
    <w:semiHidden/>
    <w:unhideWhenUsed/>
    <w:rsid w:val="004F1312"/>
    <w:rPr>
      <w:b/>
      <w:bCs/>
    </w:rPr>
  </w:style>
  <w:style w:type="character" w:customStyle="1" w:styleId="CommentSubjectChar">
    <w:name w:val="Comment Subject Char"/>
    <w:basedOn w:val="CommentTextChar"/>
    <w:link w:val="CommentSubject"/>
    <w:uiPriority w:val="99"/>
    <w:semiHidden/>
    <w:rsid w:val="004F1312"/>
    <w:rPr>
      <w:b/>
      <w:bCs/>
      <w:sz w:val="20"/>
      <w:szCs w:val="20"/>
    </w:rPr>
  </w:style>
  <w:style w:type="character" w:customStyle="1" w:styleId="Heading2Char">
    <w:name w:val="Heading 2 Char"/>
    <w:basedOn w:val="DefaultParagraphFont"/>
    <w:link w:val="Heading2"/>
    <w:uiPriority w:val="9"/>
    <w:rsid w:val="00FE700E"/>
    <w:rPr>
      <w:rFonts w:asciiTheme="majorHAnsi" w:eastAsiaTheme="majorEastAsia" w:hAnsiTheme="majorHAnsi" w:cstheme="majorBidi"/>
      <w:b/>
      <w:bCs/>
      <w:color w:val="4F81BD" w:themeColor="accent1"/>
      <w:sz w:val="26"/>
      <w:szCs w:val="26"/>
    </w:rPr>
  </w:style>
  <w:style w:type="paragraph" w:customStyle="1" w:styleId="Default">
    <w:name w:val="Default"/>
    <w:rsid w:val="00437B83"/>
    <w:pPr>
      <w:autoSpaceDE w:val="0"/>
      <w:autoSpaceDN w:val="0"/>
      <w:adjustRightInd w:val="0"/>
      <w:spacing w:after="0" w:line="240" w:lineRule="auto"/>
    </w:pPr>
    <w:rPr>
      <w:rFonts w:ascii="Arial" w:hAnsi="Arial" w:cs="Arial"/>
      <w:color w:val="000000"/>
      <w:sz w:val="24"/>
      <w:szCs w:val="24"/>
      <w:lang w:val="en-GB"/>
    </w:rPr>
  </w:style>
  <w:style w:type="paragraph" w:customStyle="1" w:styleId="Citat">
    <w:name w:val="Citat"/>
    <w:basedOn w:val="Normal"/>
    <w:next w:val="Normal"/>
    <w:link w:val="CitatChar"/>
    <w:uiPriority w:val="29"/>
    <w:qFormat/>
    <w:rsid w:val="000B3782"/>
    <w:pPr>
      <w:spacing w:before="60" w:after="120"/>
      <w:ind w:left="425"/>
    </w:pPr>
    <w:rPr>
      <w:rFonts w:eastAsia="SimSun" w:cs="Times New Roman"/>
      <w:i/>
      <w:iCs/>
      <w:color w:val="000000"/>
      <w:sz w:val="20"/>
      <w:szCs w:val="24"/>
      <w:lang w:val="en-GB" w:eastAsia="en-GB"/>
    </w:rPr>
  </w:style>
  <w:style w:type="character" w:customStyle="1" w:styleId="CitatChar">
    <w:name w:val="Citat Char"/>
    <w:link w:val="Citat"/>
    <w:uiPriority w:val="29"/>
    <w:rsid w:val="000B3782"/>
    <w:rPr>
      <w:rFonts w:ascii="Arial" w:eastAsia="SimSun" w:hAnsi="Arial" w:cs="Times New Roman"/>
      <w:i/>
      <w:iCs/>
      <w:color w:val="000000"/>
      <w:sz w:val="20"/>
      <w:szCs w:val="24"/>
      <w:lang w:val="en-GB" w:eastAsia="en-GB"/>
    </w:rPr>
  </w:style>
  <w:style w:type="character" w:customStyle="1" w:styleId="Starkbetoning">
    <w:name w:val="Stark betoning"/>
    <w:uiPriority w:val="21"/>
    <w:qFormat/>
    <w:rsid w:val="000B3782"/>
    <w:rPr>
      <w:b/>
      <w:bCs/>
      <w:i/>
      <w:iCs/>
      <w:color w:val="4F81BD"/>
    </w:rPr>
  </w:style>
  <w:style w:type="paragraph" w:styleId="ListParagraph">
    <w:name w:val="List Paragraph"/>
    <w:basedOn w:val="Normal"/>
    <w:uiPriority w:val="34"/>
    <w:qFormat/>
    <w:rsid w:val="00F60A8A"/>
    <w:pPr>
      <w:ind w:left="720"/>
      <w:contextualSpacing/>
    </w:pPr>
  </w:style>
  <w:style w:type="character" w:customStyle="1" w:styleId="nlmyear">
    <w:name w:val="nlm_year"/>
    <w:basedOn w:val="DefaultParagraphFont"/>
    <w:rsid w:val="00A0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11209">
      <w:bodyDiv w:val="1"/>
      <w:marLeft w:val="0"/>
      <w:marRight w:val="0"/>
      <w:marTop w:val="0"/>
      <w:marBottom w:val="0"/>
      <w:divBdr>
        <w:top w:val="none" w:sz="0" w:space="0" w:color="auto"/>
        <w:left w:val="none" w:sz="0" w:space="0" w:color="auto"/>
        <w:bottom w:val="none" w:sz="0" w:space="0" w:color="auto"/>
        <w:right w:val="none" w:sz="0" w:space="0" w:color="auto"/>
      </w:divBdr>
      <w:divsChild>
        <w:div w:id="1056201545">
          <w:marLeft w:val="0"/>
          <w:marRight w:val="0"/>
          <w:marTop w:val="0"/>
          <w:marBottom w:val="0"/>
          <w:divBdr>
            <w:top w:val="none" w:sz="0" w:space="0" w:color="auto"/>
            <w:left w:val="none" w:sz="0" w:space="0" w:color="auto"/>
            <w:bottom w:val="none" w:sz="0" w:space="0" w:color="auto"/>
            <w:right w:val="none" w:sz="0" w:space="0" w:color="auto"/>
          </w:divBdr>
          <w:divsChild>
            <w:div w:id="1089739212">
              <w:marLeft w:val="0"/>
              <w:marRight w:val="0"/>
              <w:marTop w:val="0"/>
              <w:marBottom w:val="0"/>
              <w:divBdr>
                <w:top w:val="none" w:sz="0" w:space="0" w:color="auto"/>
                <w:left w:val="none" w:sz="0" w:space="0" w:color="auto"/>
                <w:bottom w:val="none" w:sz="0" w:space="0" w:color="auto"/>
                <w:right w:val="none" w:sz="0" w:space="0" w:color="auto"/>
              </w:divBdr>
              <w:divsChild>
                <w:div w:id="1513297479">
                  <w:marLeft w:val="0"/>
                  <w:marRight w:val="0"/>
                  <w:marTop w:val="0"/>
                  <w:marBottom w:val="0"/>
                  <w:divBdr>
                    <w:top w:val="none" w:sz="0" w:space="0" w:color="auto"/>
                    <w:left w:val="none" w:sz="0" w:space="0" w:color="auto"/>
                    <w:bottom w:val="none" w:sz="0" w:space="0" w:color="auto"/>
                    <w:right w:val="none" w:sz="0" w:space="0" w:color="auto"/>
                  </w:divBdr>
                  <w:divsChild>
                    <w:div w:id="1768691726">
                      <w:marLeft w:val="0"/>
                      <w:marRight w:val="0"/>
                      <w:marTop w:val="0"/>
                      <w:marBottom w:val="0"/>
                      <w:divBdr>
                        <w:top w:val="none" w:sz="0" w:space="0" w:color="auto"/>
                        <w:left w:val="none" w:sz="0" w:space="0" w:color="auto"/>
                        <w:bottom w:val="none" w:sz="0" w:space="0" w:color="auto"/>
                        <w:right w:val="none" w:sz="0" w:space="0" w:color="auto"/>
                      </w:divBdr>
                      <w:divsChild>
                        <w:div w:id="2035185612">
                          <w:marLeft w:val="0"/>
                          <w:marRight w:val="0"/>
                          <w:marTop w:val="0"/>
                          <w:marBottom w:val="0"/>
                          <w:divBdr>
                            <w:top w:val="none" w:sz="0" w:space="0" w:color="auto"/>
                            <w:left w:val="none" w:sz="0" w:space="0" w:color="auto"/>
                            <w:bottom w:val="none" w:sz="0" w:space="0" w:color="auto"/>
                            <w:right w:val="none" w:sz="0" w:space="0" w:color="auto"/>
                          </w:divBdr>
                          <w:divsChild>
                            <w:div w:id="1736080950">
                              <w:marLeft w:val="0"/>
                              <w:marRight w:val="0"/>
                              <w:marTop w:val="0"/>
                              <w:marBottom w:val="0"/>
                              <w:divBdr>
                                <w:top w:val="none" w:sz="0" w:space="0" w:color="auto"/>
                                <w:left w:val="none" w:sz="0" w:space="0" w:color="auto"/>
                                <w:bottom w:val="none" w:sz="0" w:space="0" w:color="auto"/>
                                <w:right w:val="none" w:sz="0" w:space="0" w:color="auto"/>
                              </w:divBdr>
                              <w:divsChild>
                                <w:div w:id="1691176668">
                                  <w:marLeft w:val="0"/>
                                  <w:marRight w:val="0"/>
                                  <w:marTop w:val="0"/>
                                  <w:marBottom w:val="0"/>
                                  <w:divBdr>
                                    <w:top w:val="none" w:sz="0" w:space="0" w:color="auto"/>
                                    <w:left w:val="none" w:sz="0" w:space="0" w:color="auto"/>
                                    <w:bottom w:val="none" w:sz="0" w:space="0" w:color="auto"/>
                                    <w:right w:val="none" w:sz="0" w:space="0" w:color="auto"/>
                                  </w:divBdr>
                                  <w:divsChild>
                                    <w:div w:id="1357316929">
                                      <w:marLeft w:val="0"/>
                                      <w:marRight w:val="0"/>
                                      <w:marTop w:val="0"/>
                                      <w:marBottom w:val="0"/>
                                      <w:divBdr>
                                        <w:top w:val="none" w:sz="0" w:space="0" w:color="auto"/>
                                        <w:left w:val="none" w:sz="0" w:space="0" w:color="auto"/>
                                        <w:bottom w:val="none" w:sz="0" w:space="0" w:color="auto"/>
                                        <w:right w:val="none" w:sz="0" w:space="0" w:color="auto"/>
                                      </w:divBdr>
                                      <w:divsChild>
                                        <w:div w:id="1426417990">
                                          <w:marLeft w:val="0"/>
                                          <w:marRight w:val="0"/>
                                          <w:marTop w:val="0"/>
                                          <w:marBottom w:val="0"/>
                                          <w:divBdr>
                                            <w:top w:val="none" w:sz="0" w:space="0" w:color="auto"/>
                                            <w:left w:val="none" w:sz="0" w:space="0" w:color="auto"/>
                                            <w:bottom w:val="none" w:sz="0" w:space="0" w:color="auto"/>
                                            <w:right w:val="none" w:sz="0" w:space="0" w:color="auto"/>
                                          </w:divBdr>
                                          <w:divsChild>
                                            <w:div w:id="1949466428">
                                              <w:marLeft w:val="0"/>
                                              <w:marRight w:val="0"/>
                                              <w:marTop w:val="0"/>
                                              <w:marBottom w:val="0"/>
                                              <w:divBdr>
                                                <w:top w:val="none" w:sz="0" w:space="0" w:color="auto"/>
                                                <w:left w:val="none" w:sz="0" w:space="0" w:color="auto"/>
                                                <w:bottom w:val="none" w:sz="0" w:space="0" w:color="auto"/>
                                                <w:right w:val="none" w:sz="0" w:space="0" w:color="auto"/>
                                              </w:divBdr>
                                              <w:divsChild>
                                                <w:div w:id="122190052">
                                                  <w:marLeft w:val="0"/>
                                                  <w:marRight w:val="0"/>
                                                  <w:marTop w:val="0"/>
                                                  <w:marBottom w:val="0"/>
                                                  <w:divBdr>
                                                    <w:top w:val="none" w:sz="0" w:space="0" w:color="auto"/>
                                                    <w:left w:val="none" w:sz="0" w:space="0" w:color="auto"/>
                                                    <w:bottom w:val="none" w:sz="0" w:space="0" w:color="auto"/>
                                                    <w:right w:val="none" w:sz="0" w:space="0" w:color="auto"/>
                                                  </w:divBdr>
                                                  <w:divsChild>
                                                    <w:div w:id="1229656329">
                                                      <w:marLeft w:val="0"/>
                                                      <w:marRight w:val="0"/>
                                                      <w:marTop w:val="0"/>
                                                      <w:marBottom w:val="0"/>
                                                      <w:divBdr>
                                                        <w:top w:val="none" w:sz="0" w:space="0" w:color="auto"/>
                                                        <w:left w:val="none" w:sz="0" w:space="0" w:color="auto"/>
                                                        <w:bottom w:val="none" w:sz="0" w:space="0" w:color="auto"/>
                                                        <w:right w:val="none" w:sz="0" w:space="0" w:color="auto"/>
                                                      </w:divBdr>
                                                      <w:divsChild>
                                                        <w:div w:id="1624848286">
                                                          <w:marLeft w:val="0"/>
                                                          <w:marRight w:val="0"/>
                                                          <w:marTop w:val="0"/>
                                                          <w:marBottom w:val="0"/>
                                                          <w:divBdr>
                                                            <w:top w:val="none" w:sz="0" w:space="0" w:color="auto"/>
                                                            <w:left w:val="none" w:sz="0" w:space="0" w:color="auto"/>
                                                            <w:bottom w:val="none" w:sz="0" w:space="0" w:color="auto"/>
                                                            <w:right w:val="none" w:sz="0" w:space="0" w:color="auto"/>
                                                          </w:divBdr>
                                                          <w:divsChild>
                                                            <w:div w:id="675687570">
                                                              <w:marLeft w:val="0"/>
                                                              <w:marRight w:val="150"/>
                                                              <w:marTop w:val="0"/>
                                                              <w:marBottom w:val="150"/>
                                                              <w:divBdr>
                                                                <w:top w:val="none" w:sz="0" w:space="0" w:color="auto"/>
                                                                <w:left w:val="none" w:sz="0" w:space="0" w:color="auto"/>
                                                                <w:bottom w:val="none" w:sz="0" w:space="0" w:color="auto"/>
                                                                <w:right w:val="none" w:sz="0" w:space="0" w:color="auto"/>
                                                              </w:divBdr>
                                                              <w:divsChild>
                                                                <w:div w:id="1007488469">
                                                                  <w:marLeft w:val="0"/>
                                                                  <w:marRight w:val="0"/>
                                                                  <w:marTop w:val="0"/>
                                                                  <w:marBottom w:val="0"/>
                                                                  <w:divBdr>
                                                                    <w:top w:val="none" w:sz="0" w:space="0" w:color="auto"/>
                                                                    <w:left w:val="none" w:sz="0" w:space="0" w:color="auto"/>
                                                                    <w:bottom w:val="none" w:sz="0" w:space="0" w:color="auto"/>
                                                                    <w:right w:val="none" w:sz="0" w:space="0" w:color="auto"/>
                                                                  </w:divBdr>
                                                                  <w:divsChild>
                                                                    <w:div w:id="515727588">
                                                                      <w:marLeft w:val="0"/>
                                                                      <w:marRight w:val="0"/>
                                                                      <w:marTop w:val="0"/>
                                                                      <w:marBottom w:val="0"/>
                                                                      <w:divBdr>
                                                                        <w:top w:val="none" w:sz="0" w:space="0" w:color="auto"/>
                                                                        <w:left w:val="none" w:sz="0" w:space="0" w:color="auto"/>
                                                                        <w:bottom w:val="none" w:sz="0" w:space="0" w:color="auto"/>
                                                                        <w:right w:val="none" w:sz="0" w:space="0" w:color="auto"/>
                                                                      </w:divBdr>
                                                                      <w:divsChild>
                                                                        <w:div w:id="892427708">
                                                                          <w:marLeft w:val="0"/>
                                                                          <w:marRight w:val="0"/>
                                                                          <w:marTop w:val="0"/>
                                                                          <w:marBottom w:val="0"/>
                                                                          <w:divBdr>
                                                                            <w:top w:val="none" w:sz="0" w:space="0" w:color="auto"/>
                                                                            <w:left w:val="none" w:sz="0" w:space="0" w:color="auto"/>
                                                                            <w:bottom w:val="none" w:sz="0" w:space="0" w:color="auto"/>
                                                                            <w:right w:val="none" w:sz="0" w:space="0" w:color="auto"/>
                                                                          </w:divBdr>
                                                                          <w:divsChild>
                                                                            <w:div w:id="1449858574">
                                                                              <w:marLeft w:val="0"/>
                                                                              <w:marRight w:val="0"/>
                                                                              <w:marTop w:val="0"/>
                                                                              <w:marBottom w:val="0"/>
                                                                              <w:divBdr>
                                                                                <w:top w:val="none" w:sz="0" w:space="0" w:color="auto"/>
                                                                                <w:left w:val="none" w:sz="0" w:space="0" w:color="auto"/>
                                                                                <w:bottom w:val="none" w:sz="0" w:space="0" w:color="auto"/>
                                                                                <w:right w:val="none" w:sz="0" w:space="0" w:color="auto"/>
                                                                              </w:divBdr>
                                                                              <w:divsChild>
                                                                                <w:div w:id="2093383534">
                                                                                  <w:marLeft w:val="0"/>
                                                                                  <w:marRight w:val="0"/>
                                                                                  <w:marTop w:val="0"/>
                                                                                  <w:marBottom w:val="0"/>
                                                                                  <w:divBdr>
                                                                                    <w:top w:val="none" w:sz="0" w:space="0" w:color="auto"/>
                                                                                    <w:left w:val="none" w:sz="0" w:space="0" w:color="auto"/>
                                                                                    <w:bottom w:val="none" w:sz="0" w:space="0" w:color="auto"/>
                                                                                    <w:right w:val="none" w:sz="0" w:space="0" w:color="auto"/>
                                                                                  </w:divBdr>
                                                                                  <w:divsChild>
                                                                                    <w:div w:id="146553423">
                                                                                      <w:marLeft w:val="0"/>
                                                                                      <w:marRight w:val="0"/>
                                                                                      <w:marTop w:val="0"/>
                                                                                      <w:marBottom w:val="0"/>
                                                                                      <w:divBdr>
                                                                                        <w:top w:val="none" w:sz="0" w:space="0" w:color="auto"/>
                                                                                        <w:left w:val="none" w:sz="0" w:space="0" w:color="auto"/>
                                                                                        <w:bottom w:val="none" w:sz="0" w:space="0" w:color="auto"/>
                                                                                        <w:right w:val="none" w:sz="0" w:space="0" w:color="auto"/>
                                                                                      </w:divBdr>
                                                                                      <w:divsChild>
                                                                                        <w:div w:id="1832865727">
                                                                                          <w:marLeft w:val="0"/>
                                                                                          <w:marRight w:val="0"/>
                                                                                          <w:marTop w:val="0"/>
                                                                                          <w:marBottom w:val="0"/>
                                                                                          <w:divBdr>
                                                                                            <w:top w:val="none" w:sz="0" w:space="0" w:color="auto"/>
                                                                                            <w:left w:val="none" w:sz="0" w:space="0" w:color="auto"/>
                                                                                            <w:bottom w:val="none" w:sz="0" w:space="0" w:color="auto"/>
                                                                                            <w:right w:val="none" w:sz="0" w:space="0" w:color="auto"/>
                                                                                          </w:divBdr>
                                                                                        </w:div>
                                                                                        <w:div w:id="1647316787">
                                                                                          <w:marLeft w:val="0"/>
                                                                                          <w:marRight w:val="0"/>
                                                                                          <w:marTop w:val="0"/>
                                                                                          <w:marBottom w:val="0"/>
                                                                                          <w:divBdr>
                                                                                            <w:top w:val="none" w:sz="0" w:space="0" w:color="auto"/>
                                                                                            <w:left w:val="none" w:sz="0" w:space="0" w:color="auto"/>
                                                                                            <w:bottom w:val="none" w:sz="0" w:space="0" w:color="auto"/>
                                                                                            <w:right w:val="none" w:sz="0" w:space="0" w:color="auto"/>
                                                                                          </w:divBdr>
                                                                                        </w:div>
                                                                                        <w:div w:id="7826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562911">
      <w:bodyDiv w:val="1"/>
      <w:marLeft w:val="0"/>
      <w:marRight w:val="0"/>
      <w:marTop w:val="0"/>
      <w:marBottom w:val="0"/>
      <w:divBdr>
        <w:top w:val="none" w:sz="0" w:space="0" w:color="auto"/>
        <w:left w:val="none" w:sz="0" w:space="0" w:color="auto"/>
        <w:bottom w:val="none" w:sz="0" w:space="0" w:color="auto"/>
        <w:right w:val="none" w:sz="0" w:space="0" w:color="auto"/>
      </w:divBdr>
    </w:div>
    <w:div w:id="205943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modern-fp7.e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7158-9049-45E9-B415-C8449B27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4545</Words>
  <Characters>25911</Characters>
  <Application>Microsoft Office Word</Application>
  <DocSecurity>4</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Repository Monitoring as a Socio-technical Activity - 12229</vt:lpstr>
      <vt:lpstr/>
    </vt:vector>
  </TitlesOfParts>
  <Company>Universiteit Antwerpen</Company>
  <LinksUpToDate>false</LinksUpToDate>
  <CharactersWithSpaces>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Repository Monitoring as a Socio-technical Activity - 12229</dc:title>
  <dc:subject>Performance Confirmation Monitoring</dc:subject>
  <dc:creator>Bergmans Anne</dc:creator>
  <cp:lastModifiedBy>Matt White</cp:lastModifiedBy>
  <cp:revision>2</cp:revision>
  <cp:lastPrinted>2013-05-03T12:48:00Z</cp:lastPrinted>
  <dcterms:created xsi:type="dcterms:W3CDTF">2013-05-03T12:49:00Z</dcterms:created>
  <dcterms:modified xsi:type="dcterms:W3CDTF">2013-05-03T12:49:00Z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